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25F" w14:textId="77777777" w:rsidR="00655232" w:rsidRDefault="00655232" w:rsidP="00655232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24252A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7CDD969" wp14:editId="5F1A8B80">
            <wp:simplePos x="0" y="0"/>
            <wp:positionH relativeFrom="column">
              <wp:posOffset>5454153</wp:posOffset>
            </wp:positionH>
            <wp:positionV relativeFrom="paragraph">
              <wp:posOffset>-254304</wp:posOffset>
            </wp:positionV>
            <wp:extent cx="1272208" cy="571610"/>
            <wp:effectExtent l="0" t="0" r="4445" b="0"/>
            <wp:wrapNone/>
            <wp:docPr id="593390561" name="Picture 1" descr="NH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90561" name="Picture 1" descr="NHC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8" cy="5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52A">
        <w:rPr>
          <w:rFonts w:ascii="Arial" w:hAnsi="Arial" w:cs="Arial"/>
          <w:b/>
          <w:bCs/>
          <w:sz w:val="28"/>
          <w:szCs w:val="28"/>
        </w:rPr>
        <w:t>PSEO Funding Restrictions</w:t>
      </w:r>
    </w:p>
    <w:p w14:paraId="4E16B48F" w14:textId="77777777" w:rsidR="00655232" w:rsidRPr="00655232" w:rsidRDefault="00655232" w:rsidP="00655232"/>
    <w:p w14:paraId="0FA1CEEF" w14:textId="77777777" w:rsidR="00655232" w:rsidRPr="00C70BD5" w:rsidRDefault="00655232" w:rsidP="00655232">
      <w:pPr>
        <w:pStyle w:val="Header"/>
        <w:numPr>
          <w:ilvl w:val="0"/>
          <w:numId w:val="1"/>
        </w:numPr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This form is subject to change and may not be comprehensive.</w:t>
      </w:r>
    </w:p>
    <w:p w14:paraId="4D8C57D4" w14:textId="77777777" w:rsidR="00655232" w:rsidRDefault="00655232" w:rsidP="00655232">
      <w:pPr>
        <w:pStyle w:val="Header"/>
        <w:numPr>
          <w:ilvl w:val="0"/>
          <w:numId w:val="1"/>
        </w:numPr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The PSEO program does not cover the expenses for:</w:t>
      </w:r>
    </w:p>
    <w:p w14:paraId="1C1231EA" w14:textId="77777777" w:rsidR="00655232" w:rsidRDefault="00655232" w:rsidP="00655232">
      <w:pPr>
        <w:pStyle w:val="Header"/>
        <w:numPr>
          <w:ilvl w:val="1"/>
          <w:numId w:val="1"/>
        </w:numP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Courses with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supplemental fees added to the cost of the course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</w:t>
      </w:r>
      <w:r w:rsidRPr="00C50B01">
        <w:rPr>
          <w:rStyle w:val="BookTitle"/>
          <w:rFonts w:ascii="Arial" w:eastAsiaTheme="majorEastAsia" w:hAnsi="Arial" w:cs="Arial"/>
          <w:iCs w:val="0"/>
          <w:sz w:val="22"/>
          <w:szCs w:val="22"/>
        </w:rPr>
        <w:t>or</w:t>
      </w:r>
    </w:p>
    <w:p w14:paraId="0111A5F1" w14:textId="77777777" w:rsidR="00655232" w:rsidRDefault="00655232" w:rsidP="00655232">
      <w:pPr>
        <w:pStyle w:val="Header"/>
        <w:numPr>
          <w:ilvl w:val="1"/>
          <w:numId w:val="1"/>
        </w:numP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D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evelopmental courses (courses numbered below 1000)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</w:t>
      </w:r>
      <w:r w:rsidRPr="00C50B01">
        <w:rPr>
          <w:rStyle w:val="BookTitle"/>
          <w:rFonts w:ascii="Arial" w:eastAsiaTheme="majorEastAsia" w:hAnsi="Arial" w:cs="Arial"/>
          <w:iCs w:val="0"/>
          <w:sz w:val="22"/>
          <w:szCs w:val="22"/>
        </w:rPr>
        <w:t>or</w:t>
      </w:r>
    </w:p>
    <w:p w14:paraId="1D17D06A" w14:textId="77777777" w:rsidR="00655232" w:rsidRPr="00C70BD5" w:rsidRDefault="00655232" w:rsidP="00655232">
      <w:pPr>
        <w:pStyle w:val="Header"/>
        <w:numPr>
          <w:ilvl w:val="1"/>
          <w:numId w:val="1"/>
        </w:numP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The Summer term</w:t>
      </w:r>
    </w:p>
    <w:p w14:paraId="35A33F63" w14:textId="77777777" w:rsidR="00655232" w:rsidRDefault="00655232" w:rsidP="00655232">
      <w:pPr>
        <w:pStyle w:val="Header"/>
        <w:numPr>
          <w:ilvl w:val="0"/>
          <w:numId w:val="1"/>
        </w:numPr>
        <w:ind w:left="360" w:right="-9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PSEO students are not eligible to take classes through Credit for Prior Learning.</w:t>
      </w:r>
    </w:p>
    <w:p w14:paraId="52C385E1" w14:textId="77777777" w:rsidR="00655232" w:rsidRPr="00C70BD5" w:rsidRDefault="00655232" w:rsidP="00655232">
      <w:pPr>
        <w:pStyle w:val="Header"/>
        <w:numPr>
          <w:ilvl w:val="0"/>
          <w:numId w:val="1"/>
        </w:numPr>
        <w:ind w:left="360" w:right="-9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The Records and Registration Office will drop you from any course not covered by the PSEO program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.</w:t>
      </w:r>
    </w:p>
    <w:p w14:paraId="31F3E0DB" w14:textId="77777777" w:rsidR="00655232" w:rsidRPr="00C70BD5" w:rsidRDefault="00655232" w:rsidP="00655232">
      <w:pPr>
        <w:pStyle w:val="Header"/>
        <w:numPr>
          <w:ilvl w:val="0"/>
          <w:numId w:val="1"/>
        </w:numPr>
        <w:tabs>
          <w:tab w:val="clear" w:pos="9360"/>
        </w:tabs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To check for fees, search course in </w:t>
      </w:r>
      <w:proofErr w:type="spellStart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eServices</w:t>
      </w:r>
      <w:proofErr w:type="spellEnd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and click on the course title. 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Courses 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with fees in the 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  <w:u w:val="single"/>
        </w:rPr>
        <w:t>notes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section indicate a course not covered by PSEO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.</w:t>
      </w:r>
    </w:p>
    <w:p w14:paraId="7405FC69" w14:textId="77777777" w:rsidR="00655232" w:rsidRDefault="00655232" w:rsidP="00655232">
      <w:pPr>
        <w:pStyle w:val="Header"/>
        <w:numPr>
          <w:ilvl w:val="0"/>
          <w:numId w:val="1"/>
        </w:numPr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Students </w:t>
      </w:r>
      <w:proofErr w:type="gramStart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are not able to</w:t>
      </w:r>
      <w:proofErr w:type="gramEnd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retake courses they have already completed with a grade of an A, B, C, D, W (withdraw), or NW (withdraw for non-attendance).</w:t>
      </w:r>
    </w:p>
    <w:p w14:paraId="24B13398" w14:textId="77777777" w:rsidR="00655232" w:rsidRDefault="00655232" w:rsidP="00655232">
      <w:pPr>
        <w:pStyle w:val="Header"/>
        <w:numPr>
          <w:ilvl w:val="0"/>
          <w:numId w:val="1"/>
        </w:numPr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PSEO Students are not eligible for admission to the Nursing, MLT, Paralegal, Phlebotomy, or Peace Officer Skills programs. 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You are allowed to take g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eneral education and approved pre-requisite</w:t>
      </w:r>
      <w:r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courses</w:t>
      </w:r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</w:t>
      </w:r>
      <w:proofErr w:type="gramStart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>towards</w:t>
      </w:r>
      <w:proofErr w:type="gramEnd"/>
      <w:r w:rsidRPr="00C70BD5"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  <w:t xml:space="preserve"> these programs.</w:t>
      </w:r>
    </w:p>
    <w:p w14:paraId="3D1513FA" w14:textId="77777777" w:rsidR="00655232" w:rsidRDefault="00655232" w:rsidP="00655232">
      <w:pPr>
        <w:pStyle w:val="Header"/>
        <w:ind w:left="360"/>
        <w:rPr>
          <w:rStyle w:val="BookTitle"/>
          <w:rFonts w:ascii="Arial" w:eastAsiaTheme="majorEastAsia" w:hAnsi="Arial" w:cs="Arial"/>
          <w:b w:val="0"/>
          <w:bCs w:val="0"/>
          <w:i w:val="0"/>
          <w:sz w:val="22"/>
          <w:szCs w:val="22"/>
        </w:rPr>
      </w:pPr>
    </w:p>
    <w:p w14:paraId="6CAC3BC7" w14:textId="77777777" w:rsidR="00655232" w:rsidRPr="0024252A" w:rsidRDefault="00655232" w:rsidP="00655232">
      <w:pPr>
        <w:pStyle w:val="Heading1"/>
        <w:spacing w:before="120" w:after="0"/>
        <w:rPr>
          <w:rFonts w:ascii="Arial" w:hAnsi="Arial" w:cs="Arial"/>
          <w:b/>
          <w:bCs/>
          <w:color w:val="auto"/>
          <w:sz w:val="22"/>
          <w:szCs w:val="22"/>
        </w:rPr>
      </w:pPr>
      <w:r w:rsidRPr="0024252A">
        <w:rPr>
          <w:rFonts w:ascii="Arial" w:hAnsi="Arial" w:cs="Arial"/>
          <w:b/>
          <w:bCs/>
          <w:color w:val="auto"/>
          <w:sz w:val="22"/>
          <w:szCs w:val="22"/>
        </w:rPr>
        <w:t>Registration is permitted for the following courses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but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have additional fees you must pay:</w:t>
      </w:r>
    </w:p>
    <w:p w14:paraId="267E38F5" w14:textId="77777777" w:rsidR="00655232" w:rsidRDefault="00655232" w:rsidP="00B82281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CD3629">
        <w:rPr>
          <w:rFonts w:ascii="Arial" w:hAnsi="Arial" w:cs="Arial"/>
          <w:i/>
          <w:iCs/>
          <w:sz w:val="20"/>
          <w:szCs w:val="20"/>
        </w:rPr>
        <w:t>Note: There are specific supplies required for these classes not covered by the PSEO program. The prices written here are subject to change. For updated prices, check with the NHCC Bookstore.</w:t>
      </w:r>
    </w:p>
    <w:p w14:paraId="13A88824" w14:textId="77777777" w:rsidR="00B82281" w:rsidRPr="00B82281" w:rsidRDefault="00B82281" w:rsidP="00655232">
      <w:pPr>
        <w:spacing w:after="120" w:line="240" w:lineRule="auto"/>
        <w:ind w:left="547"/>
        <w:rPr>
          <w:rFonts w:ascii="Arial" w:hAnsi="Arial" w:cs="Arial"/>
          <w:i/>
          <w:iCs/>
          <w:sz w:val="8"/>
          <w:szCs w:val="8"/>
        </w:rPr>
      </w:pPr>
    </w:p>
    <w:tbl>
      <w:tblPr>
        <w:tblStyle w:val="TableGrid"/>
        <w:tblW w:w="10620" w:type="dxa"/>
        <w:tblInd w:w="-23" w:type="dxa"/>
        <w:tblBorders>
          <w:top w:val="single" w:sz="18" w:space="0" w:color="0A1F8F"/>
          <w:left w:val="single" w:sz="18" w:space="0" w:color="0A1F8F"/>
          <w:bottom w:val="single" w:sz="18" w:space="0" w:color="0A1F8F"/>
          <w:right w:val="single" w:sz="18" w:space="0" w:color="0A1F8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150"/>
        <w:gridCol w:w="2700"/>
        <w:gridCol w:w="2250"/>
      </w:tblGrid>
      <w:tr w:rsidR="00655232" w14:paraId="44C0FE9E" w14:textId="77777777" w:rsidTr="00655232">
        <w:tc>
          <w:tcPr>
            <w:tcW w:w="2520" w:type="dxa"/>
          </w:tcPr>
          <w:p w14:paraId="535BC5A0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Course:</w:t>
            </w:r>
          </w:p>
        </w:tc>
        <w:tc>
          <w:tcPr>
            <w:tcW w:w="3150" w:type="dxa"/>
          </w:tcPr>
          <w:p w14:paraId="02B974EE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2700" w:type="dxa"/>
          </w:tcPr>
          <w:p w14:paraId="1FC76DDC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Supply:</w:t>
            </w:r>
          </w:p>
        </w:tc>
        <w:tc>
          <w:tcPr>
            <w:tcW w:w="2250" w:type="dxa"/>
          </w:tcPr>
          <w:p w14:paraId="40CE4885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Cost:</w:t>
            </w:r>
          </w:p>
        </w:tc>
      </w:tr>
      <w:tr w:rsidR="00655232" w14:paraId="2CA01AFB" w14:textId="77777777" w:rsidTr="00655232">
        <w:tc>
          <w:tcPr>
            <w:tcW w:w="2520" w:type="dxa"/>
          </w:tcPr>
          <w:p w14:paraId="3AF4C73E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 w:rsidRPr="001B2987">
              <w:rPr>
                <w:rFonts w:ascii="Arial" w:hAnsi="Arial" w:cs="Arial"/>
                <w:sz w:val="22"/>
                <w:szCs w:val="22"/>
              </w:rPr>
              <w:t>ART 1160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150" w:type="dxa"/>
          </w:tcPr>
          <w:p w14:paraId="5B8C792D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 w:rsidRPr="00EB4BBA">
              <w:rPr>
                <w:rFonts w:ascii="Arial" w:hAnsi="Arial" w:cs="Arial"/>
                <w:sz w:val="22"/>
              </w:rPr>
              <w:t>Digital Photography</w:t>
            </w:r>
          </w:p>
        </w:tc>
        <w:tc>
          <w:tcPr>
            <w:tcW w:w="2700" w:type="dxa"/>
          </w:tcPr>
          <w:p w14:paraId="3711A384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 w:rsidRPr="00EB4BBA">
              <w:rPr>
                <w:rFonts w:ascii="Arial" w:hAnsi="Arial" w:cs="Arial"/>
                <w:sz w:val="22"/>
                <w:szCs w:val="23"/>
              </w:rPr>
              <w:t>Adobe Photoshop</w:t>
            </w:r>
          </w:p>
        </w:tc>
        <w:tc>
          <w:tcPr>
            <w:tcW w:w="2250" w:type="dxa"/>
          </w:tcPr>
          <w:p w14:paraId="3ABAD592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$120</w:t>
            </w:r>
          </w:p>
        </w:tc>
      </w:tr>
      <w:tr w:rsidR="00655232" w14:paraId="7131DD6D" w14:textId="77777777" w:rsidTr="00655232">
        <w:tc>
          <w:tcPr>
            <w:tcW w:w="2520" w:type="dxa"/>
          </w:tcPr>
          <w:p w14:paraId="1537D9F7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TFT 1320</w:t>
            </w:r>
          </w:p>
        </w:tc>
        <w:tc>
          <w:tcPr>
            <w:tcW w:w="3150" w:type="dxa"/>
          </w:tcPr>
          <w:p w14:paraId="1AB196D9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World Cinema</w:t>
            </w:r>
          </w:p>
        </w:tc>
        <w:tc>
          <w:tcPr>
            <w:tcW w:w="2700" w:type="dxa"/>
          </w:tcPr>
          <w:p w14:paraId="29F4CC90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Movies</w:t>
            </w:r>
          </w:p>
        </w:tc>
        <w:tc>
          <w:tcPr>
            <w:tcW w:w="2250" w:type="dxa"/>
          </w:tcPr>
          <w:p w14:paraId="2F587FF6" w14:textId="77777777" w:rsidR="00655232" w:rsidRDefault="00655232" w:rsidP="00D11A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$50</w:t>
            </w:r>
          </w:p>
        </w:tc>
      </w:tr>
    </w:tbl>
    <w:p w14:paraId="21088F5E" w14:textId="77777777" w:rsidR="00655232" w:rsidRDefault="00655232" w:rsidP="00655232">
      <w:pPr>
        <w:pStyle w:val="Heading1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74E38F" w14:textId="77777777" w:rsidR="00B82281" w:rsidRPr="00B82281" w:rsidRDefault="00B82281" w:rsidP="00B82281"/>
    <w:p w14:paraId="6070CADC" w14:textId="77777777" w:rsidR="00655232" w:rsidRDefault="00655232" w:rsidP="00655232">
      <w:pPr>
        <w:pStyle w:val="Heading1"/>
        <w:spacing w:before="12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Registration is </w:t>
      </w:r>
      <w:r w:rsidRPr="00CD3629">
        <w:rPr>
          <w:rFonts w:ascii="Arial" w:hAnsi="Arial" w:cs="Arial"/>
          <w:b/>
          <w:bCs/>
          <w:color w:val="auto"/>
          <w:sz w:val="22"/>
          <w:szCs w:val="22"/>
          <w:u w:val="single"/>
        </w:rPr>
        <w:t>NOT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permitted for the following courses, due to </w:t>
      </w:r>
      <w:r w:rsidRPr="0024252A">
        <w:rPr>
          <w:rFonts w:ascii="Arial" w:hAnsi="Arial" w:cs="Arial"/>
          <w:b/>
          <w:bCs/>
          <w:color w:val="auto"/>
          <w:sz w:val="22"/>
          <w:szCs w:val="22"/>
        </w:rPr>
        <w:t xml:space="preserve">additional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course </w:t>
      </w:r>
      <w:r w:rsidRPr="0024252A">
        <w:rPr>
          <w:rFonts w:ascii="Arial" w:hAnsi="Arial" w:cs="Arial"/>
          <w:b/>
          <w:bCs/>
          <w:color w:val="auto"/>
          <w:sz w:val="22"/>
          <w:szCs w:val="22"/>
        </w:rPr>
        <w:t>fees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3C9EF38A" w14:textId="77777777" w:rsidR="00261233" w:rsidRPr="00B82281" w:rsidRDefault="00261233" w:rsidP="00261233">
      <w:pPr>
        <w:rPr>
          <w:sz w:val="8"/>
          <w:szCs w:val="8"/>
        </w:rPr>
      </w:pPr>
    </w:p>
    <w:tbl>
      <w:tblPr>
        <w:tblStyle w:val="TableGrid"/>
        <w:tblW w:w="10620" w:type="dxa"/>
        <w:tblInd w:w="67" w:type="dxa"/>
        <w:tblBorders>
          <w:top w:val="single" w:sz="18" w:space="0" w:color="0A1F8F"/>
          <w:left w:val="single" w:sz="18" w:space="0" w:color="0A1F8F"/>
          <w:bottom w:val="single" w:sz="18" w:space="0" w:color="0A1F8F"/>
          <w:right w:val="single" w:sz="18" w:space="0" w:color="0A1F8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B82281" w:rsidRPr="00C70BD5" w14:paraId="36417140" w14:textId="77777777" w:rsidTr="00B82281">
        <w:tc>
          <w:tcPr>
            <w:tcW w:w="5310" w:type="dxa"/>
          </w:tcPr>
          <w:p w14:paraId="62233F39" w14:textId="04B96D72" w:rsidR="00B82281" w:rsidRPr="00AA05AC" w:rsidRDefault="00B82281" w:rsidP="00B82281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ALTH 1020 Phlebotomy Technology</w:t>
            </w:r>
          </w:p>
        </w:tc>
        <w:tc>
          <w:tcPr>
            <w:tcW w:w="5310" w:type="dxa"/>
          </w:tcPr>
          <w:p w14:paraId="7D3D5DB9" w14:textId="506F661A" w:rsidR="00B82281" w:rsidRPr="00AA05AC" w:rsidRDefault="00B82281" w:rsidP="00B82281">
            <w:pPr>
              <w:rPr>
                <w:rFonts w:ascii="Arial" w:hAnsi="Arial" w:cs="Arial"/>
                <w:sz w:val="22"/>
              </w:rPr>
            </w:pPr>
            <w:r w:rsidRPr="00655232">
              <w:rPr>
                <w:rFonts w:ascii="Arial" w:hAnsi="Arial" w:cs="Arial"/>
                <w:sz w:val="22"/>
              </w:rPr>
              <w:t>GCST 1970 Env Justice and Nature Immersion Exp</w:t>
            </w:r>
          </w:p>
        </w:tc>
      </w:tr>
      <w:tr w:rsidR="00B82281" w:rsidRPr="00C70BD5" w14:paraId="652AE4FF" w14:textId="77777777" w:rsidTr="00B82281">
        <w:tc>
          <w:tcPr>
            <w:tcW w:w="5310" w:type="dxa"/>
          </w:tcPr>
          <w:p w14:paraId="07A28596" w14:textId="6B944377" w:rsidR="00B82281" w:rsidRPr="00AA05AC" w:rsidRDefault="00B82281" w:rsidP="00B82281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ALTH 1025 Phlebotomy Practicum</w:t>
            </w:r>
          </w:p>
        </w:tc>
        <w:tc>
          <w:tcPr>
            <w:tcW w:w="5310" w:type="dxa"/>
          </w:tcPr>
          <w:p w14:paraId="00EB7D19" w14:textId="7205391F" w:rsidR="00B82281" w:rsidRPr="00AA05AC" w:rsidRDefault="00B82281" w:rsidP="00B82281">
            <w:pPr>
              <w:rPr>
                <w:rFonts w:ascii="Arial" w:hAnsi="Arial" w:cs="Arial"/>
                <w:sz w:val="22"/>
              </w:rPr>
            </w:pPr>
            <w:r w:rsidRPr="00655232">
              <w:rPr>
                <w:rFonts w:ascii="Arial" w:hAnsi="Arial" w:cs="Arial"/>
                <w:sz w:val="22"/>
              </w:rPr>
              <w:t>GCST 2970 Outdoor Experiential P</w:t>
            </w:r>
            <w:r>
              <w:rPr>
                <w:rFonts w:ascii="Arial" w:hAnsi="Arial" w:cs="Arial"/>
                <w:sz w:val="22"/>
              </w:rPr>
              <w:t>rog</w:t>
            </w:r>
            <w:r w:rsidRPr="00655232">
              <w:rPr>
                <w:rFonts w:ascii="Arial" w:hAnsi="Arial" w:cs="Arial"/>
                <w:sz w:val="22"/>
              </w:rPr>
              <w:t xml:space="preserve"> Leadership</w:t>
            </w:r>
          </w:p>
        </w:tc>
      </w:tr>
      <w:tr w:rsidR="00B82281" w:rsidRPr="00C70BD5" w14:paraId="17AF8328" w14:textId="77777777" w:rsidTr="00B82281">
        <w:tc>
          <w:tcPr>
            <w:tcW w:w="5310" w:type="dxa"/>
          </w:tcPr>
          <w:p w14:paraId="399FFE54" w14:textId="756B4D76" w:rsidR="00B82281" w:rsidRPr="00AA05AC" w:rsidRDefault="00B82281" w:rsidP="00B82281">
            <w:pPr>
              <w:tabs>
                <w:tab w:val="left" w:pos="1260"/>
              </w:tabs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ART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B4BBA">
              <w:rPr>
                <w:rFonts w:ascii="Arial" w:hAnsi="Arial" w:cs="Arial"/>
                <w:sz w:val="22"/>
              </w:rPr>
              <w:t>1101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B4BBA">
              <w:rPr>
                <w:rFonts w:ascii="Arial" w:hAnsi="Arial" w:cs="Arial"/>
                <w:sz w:val="22"/>
              </w:rPr>
              <w:t xml:space="preserve">Photography 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310" w:type="dxa"/>
          </w:tcPr>
          <w:p w14:paraId="49ECACD7" w14:textId="5FAC27D5" w:rsidR="00B82281" w:rsidRPr="00AA05AC" w:rsidRDefault="00B82281" w:rsidP="00B82281">
            <w:pPr>
              <w:ind w:right="-1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HSER 1100 Intro to Human Services</w:t>
            </w:r>
          </w:p>
        </w:tc>
      </w:tr>
      <w:tr w:rsidR="00B82281" w:rsidRPr="00C70BD5" w14:paraId="6F08F420" w14:textId="77777777" w:rsidTr="00B82281">
        <w:tc>
          <w:tcPr>
            <w:tcW w:w="5310" w:type="dxa"/>
          </w:tcPr>
          <w:p w14:paraId="43476135" w14:textId="72F35ED4" w:rsidR="00B82281" w:rsidRPr="00AA05AC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 xml:space="preserve">ART 1102 Photography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310" w:type="dxa"/>
          </w:tcPr>
          <w:p w14:paraId="246919A1" w14:textId="2BD89A22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1510 Applied Music: Guitar</w:t>
            </w:r>
          </w:p>
        </w:tc>
      </w:tr>
      <w:tr w:rsidR="00B82281" w:rsidRPr="00C70BD5" w14:paraId="7A5D4E81" w14:textId="77777777" w:rsidTr="00B82281">
        <w:tc>
          <w:tcPr>
            <w:tcW w:w="5310" w:type="dxa"/>
          </w:tcPr>
          <w:p w14:paraId="458A6A22" w14:textId="563F895F" w:rsidR="00B82281" w:rsidRPr="00AA05AC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ART 1160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B4BBA">
              <w:rPr>
                <w:rFonts w:ascii="Arial" w:hAnsi="Arial" w:cs="Arial"/>
                <w:sz w:val="22"/>
              </w:rPr>
              <w:t>Digital Photography</w:t>
            </w:r>
            <w:r w:rsidRPr="00EB4BBA">
              <w:rPr>
                <w:rFonts w:ascii="Arial" w:hAnsi="Arial" w:cs="Arial"/>
                <w:b/>
                <w:szCs w:val="28"/>
              </w:rPr>
              <w:t>*</w:t>
            </w:r>
          </w:p>
        </w:tc>
        <w:tc>
          <w:tcPr>
            <w:tcW w:w="5310" w:type="dxa"/>
          </w:tcPr>
          <w:p w14:paraId="6A167397" w14:textId="4F7F25E7" w:rsidR="00B82281" w:rsidRPr="00C70BD5" w:rsidRDefault="00B82281" w:rsidP="00B82281">
            <w:pPr>
              <w:rPr>
                <w:rFonts w:ascii="Arial" w:hAnsi="Arial" w:cs="Arial"/>
                <w:sz w:val="22"/>
                <w:szCs w:val="22"/>
              </w:rPr>
            </w:pPr>
            <w:r w:rsidRPr="00EB4BBA">
              <w:rPr>
                <w:rFonts w:ascii="Arial" w:hAnsi="Arial" w:cs="Arial"/>
                <w:sz w:val="22"/>
              </w:rPr>
              <w:t>MUSC 1610 Applied Voice</w:t>
            </w:r>
          </w:p>
        </w:tc>
      </w:tr>
      <w:tr w:rsidR="00B82281" w:rsidRPr="00C70BD5" w14:paraId="4705069F" w14:textId="77777777" w:rsidTr="00B82281">
        <w:tc>
          <w:tcPr>
            <w:tcW w:w="5310" w:type="dxa"/>
          </w:tcPr>
          <w:p w14:paraId="6899A538" w14:textId="6BAA26F9" w:rsidR="00B82281" w:rsidRPr="00AA05AC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 xml:space="preserve">ART 1361 Ceramics 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310" w:type="dxa"/>
          </w:tcPr>
          <w:p w14:paraId="69644702" w14:textId="732CDF92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1810 Applied Music Lessons: Piano</w:t>
            </w:r>
          </w:p>
        </w:tc>
      </w:tr>
      <w:tr w:rsidR="00B82281" w:rsidRPr="00C70BD5" w14:paraId="1B464469" w14:textId="77777777" w:rsidTr="00B82281">
        <w:tc>
          <w:tcPr>
            <w:tcW w:w="5310" w:type="dxa"/>
          </w:tcPr>
          <w:p w14:paraId="26DBD502" w14:textId="14DAA6B4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 xml:space="preserve">ART 1362 Ceramics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310" w:type="dxa"/>
          </w:tcPr>
          <w:p w14:paraId="5A877FFF" w14:textId="039EB9B6" w:rsidR="00B82281" w:rsidRPr="00C70BD5" w:rsidRDefault="00B82281" w:rsidP="00B82281">
            <w:pPr>
              <w:rPr>
                <w:rFonts w:ascii="Arial" w:hAnsi="Arial" w:cs="Arial"/>
                <w:sz w:val="22"/>
                <w:szCs w:val="22"/>
              </w:rPr>
            </w:pPr>
            <w:r w:rsidRPr="00EB4BBA">
              <w:rPr>
                <w:rFonts w:ascii="Arial" w:hAnsi="Arial" w:cs="Arial"/>
                <w:sz w:val="22"/>
              </w:rPr>
              <w:t>MUSC 1830 Applied Music: String</w:t>
            </w:r>
            <w:r>
              <w:rPr>
                <w:rFonts w:ascii="Arial" w:hAnsi="Arial" w:cs="Arial"/>
                <w:sz w:val="22"/>
              </w:rPr>
              <w:t>s</w:t>
            </w:r>
          </w:p>
        </w:tc>
      </w:tr>
      <w:tr w:rsidR="00B82281" w:rsidRPr="00C70BD5" w14:paraId="45B05AE2" w14:textId="77777777" w:rsidTr="00B82281">
        <w:tc>
          <w:tcPr>
            <w:tcW w:w="5310" w:type="dxa"/>
          </w:tcPr>
          <w:p w14:paraId="71BB43C3" w14:textId="73F5F8D9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ART 1990 Special Topics</w:t>
            </w:r>
          </w:p>
        </w:tc>
        <w:tc>
          <w:tcPr>
            <w:tcW w:w="5310" w:type="dxa"/>
          </w:tcPr>
          <w:p w14:paraId="382384F4" w14:textId="644EA4E6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1850 Applied Music: Percussion</w:t>
            </w:r>
          </w:p>
        </w:tc>
      </w:tr>
      <w:tr w:rsidR="00B82281" w:rsidRPr="00C70BD5" w14:paraId="01812246" w14:textId="77777777" w:rsidTr="00B82281">
        <w:tc>
          <w:tcPr>
            <w:tcW w:w="5310" w:type="dxa"/>
          </w:tcPr>
          <w:p w14:paraId="199B6C91" w14:textId="329A5206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1240 Rock Climbing</w:t>
            </w:r>
          </w:p>
        </w:tc>
        <w:tc>
          <w:tcPr>
            <w:tcW w:w="5310" w:type="dxa"/>
          </w:tcPr>
          <w:p w14:paraId="7AA0AFB1" w14:textId="4D77FF12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1860 Applied Music: Brass</w:t>
            </w:r>
          </w:p>
        </w:tc>
      </w:tr>
      <w:tr w:rsidR="00B82281" w:rsidRPr="00C70BD5" w14:paraId="4CD3364F" w14:textId="77777777" w:rsidTr="00B82281">
        <w:tc>
          <w:tcPr>
            <w:tcW w:w="5310" w:type="dxa"/>
          </w:tcPr>
          <w:p w14:paraId="520C8C67" w14:textId="6B1A415D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1640 Outdoor Sampler</w:t>
            </w:r>
          </w:p>
        </w:tc>
        <w:tc>
          <w:tcPr>
            <w:tcW w:w="5310" w:type="dxa"/>
          </w:tcPr>
          <w:p w14:paraId="4673355E" w14:textId="69945450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1870 Applied Music: Woodwinds</w:t>
            </w:r>
          </w:p>
        </w:tc>
      </w:tr>
      <w:tr w:rsidR="00B82281" w:rsidRPr="00C70BD5" w14:paraId="7B4416EF" w14:textId="77777777" w:rsidTr="00B82281">
        <w:tc>
          <w:tcPr>
            <w:tcW w:w="5310" w:type="dxa"/>
          </w:tcPr>
          <w:p w14:paraId="5DD74266" w14:textId="36FA3B83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1740 Hiking</w:t>
            </w:r>
          </w:p>
        </w:tc>
        <w:tc>
          <w:tcPr>
            <w:tcW w:w="5310" w:type="dxa"/>
          </w:tcPr>
          <w:p w14:paraId="261B2AC2" w14:textId="34DD1383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MUSC 1990 Music Special Topics</w:t>
            </w:r>
          </w:p>
        </w:tc>
      </w:tr>
      <w:tr w:rsidR="00B82281" w:rsidRPr="00C70BD5" w14:paraId="76786BBB" w14:textId="77777777" w:rsidTr="00B82281">
        <w:tc>
          <w:tcPr>
            <w:tcW w:w="5310" w:type="dxa"/>
          </w:tcPr>
          <w:p w14:paraId="7E30D372" w14:textId="2EFD59AB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1760 Intro to Kayaking &amp; Canoeing</w:t>
            </w:r>
          </w:p>
        </w:tc>
        <w:tc>
          <w:tcPr>
            <w:tcW w:w="5310" w:type="dxa"/>
          </w:tcPr>
          <w:p w14:paraId="322CA9BC" w14:textId="013AEDA7" w:rsidR="00B82281" w:rsidRPr="00C70BD5" w:rsidRDefault="00B82281" w:rsidP="00B82281">
            <w:pPr>
              <w:rPr>
                <w:rFonts w:ascii="Arial" w:hAnsi="Arial" w:cs="Arial"/>
                <w:sz w:val="22"/>
                <w:szCs w:val="22"/>
              </w:rPr>
            </w:pPr>
            <w:r w:rsidRPr="00EB4BBA">
              <w:rPr>
                <w:rFonts w:ascii="Arial" w:hAnsi="Arial" w:cs="Arial"/>
                <w:sz w:val="22"/>
              </w:rPr>
              <w:t>MUSC 2010 Advanced Applied Music</w:t>
            </w:r>
          </w:p>
        </w:tc>
      </w:tr>
      <w:tr w:rsidR="00B82281" w:rsidRPr="00C70BD5" w14:paraId="467BECA6" w14:textId="77777777" w:rsidTr="00B82281">
        <w:tc>
          <w:tcPr>
            <w:tcW w:w="5310" w:type="dxa"/>
          </w:tcPr>
          <w:p w14:paraId="04C9EE5B" w14:textId="5B0216BC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1990 Special Topics</w:t>
            </w:r>
          </w:p>
        </w:tc>
        <w:tc>
          <w:tcPr>
            <w:tcW w:w="5310" w:type="dxa"/>
          </w:tcPr>
          <w:p w14:paraId="51C9D1A1" w14:textId="7D16F256" w:rsidR="00B82281" w:rsidRPr="00FD3230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 xml:space="preserve">MUSC 2970 Music </w:t>
            </w:r>
            <w:r>
              <w:rPr>
                <w:rFonts w:ascii="Arial" w:hAnsi="Arial" w:cs="Arial"/>
                <w:sz w:val="22"/>
              </w:rPr>
              <w:t>Tour</w:t>
            </w:r>
          </w:p>
        </w:tc>
      </w:tr>
      <w:tr w:rsidR="00B82281" w:rsidRPr="00C70BD5" w14:paraId="7EBDB0D6" w14:textId="77777777" w:rsidTr="00B82281">
        <w:tc>
          <w:tcPr>
            <w:tcW w:w="5310" w:type="dxa"/>
          </w:tcPr>
          <w:p w14:paraId="1044EFFD" w14:textId="745BB71D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EB4BBA">
              <w:rPr>
                <w:rFonts w:ascii="Arial" w:hAnsi="Arial" w:cs="Arial"/>
                <w:sz w:val="22"/>
              </w:rPr>
              <w:t>EXSC 2100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EB4BBA">
              <w:rPr>
                <w:rFonts w:ascii="Arial" w:hAnsi="Arial" w:cs="Arial"/>
                <w:sz w:val="22"/>
              </w:rPr>
              <w:t>Concepts of Training</w:t>
            </w:r>
          </w:p>
        </w:tc>
        <w:tc>
          <w:tcPr>
            <w:tcW w:w="5310" w:type="dxa"/>
          </w:tcPr>
          <w:p w14:paraId="3FB786DD" w14:textId="7D8CC6B2" w:rsidR="00B82281" w:rsidRDefault="00B82281" w:rsidP="00B822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TFT 1200 Theater in the Twin Cities</w:t>
            </w:r>
          </w:p>
        </w:tc>
      </w:tr>
      <w:tr w:rsidR="00B82281" w:rsidRPr="00C70BD5" w14:paraId="3DAE2718" w14:textId="77777777" w:rsidTr="00B82281">
        <w:tc>
          <w:tcPr>
            <w:tcW w:w="5310" w:type="dxa"/>
          </w:tcPr>
          <w:p w14:paraId="4E35F8CD" w14:textId="1CAFA1EA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GCST 1490 </w:t>
            </w:r>
            <w:r w:rsidRPr="00655232">
              <w:rPr>
                <w:rFonts w:ascii="Arial" w:hAnsi="Arial" w:cs="Arial"/>
                <w:sz w:val="22"/>
              </w:rPr>
              <w:t>American Indian Immersion Experience</w:t>
            </w:r>
          </w:p>
        </w:tc>
        <w:tc>
          <w:tcPr>
            <w:tcW w:w="5310" w:type="dxa"/>
          </w:tcPr>
          <w:p w14:paraId="0796C271" w14:textId="18E33C3E" w:rsidR="00B82281" w:rsidRDefault="00B82281" w:rsidP="00B822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TFT 2950 Theater Appreciation Field Trip</w:t>
            </w:r>
          </w:p>
        </w:tc>
      </w:tr>
      <w:tr w:rsidR="00B82281" w:rsidRPr="00C70BD5" w14:paraId="392A6ED4" w14:textId="77777777" w:rsidTr="00B82281">
        <w:tc>
          <w:tcPr>
            <w:tcW w:w="5310" w:type="dxa"/>
          </w:tcPr>
          <w:p w14:paraId="5D1E867A" w14:textId="608ACCC5" w:rsidR="00B82281" w:rsidRPr="00EB4BBA" w:rsidRDefault="00B82281" w:rsidP="00B82281">
            <w:pPr>
              <w:rPr>
                <w:rFonts w:ascii="Arial" w:hAnsi="Arial" w:cs="Arial"/>
                <w:sz w:val="22"/>
              </w:rPr>
            </w:pPr>
            <w:r w:rsidRPr="00655232">
              <w:rPr>
                <w:rFonts w:ascii="Arial" w:hAnsi="Arial" w:cs="Arial"/>
                <w:sz w:val="22"/>
              </w:rPr>
              <w:t>GCST 1964 Af</w:t>
            </w:r>
            <w:r>
              <w:rPr>
                <w:rFonts w:ascii="Arial" w:hAnsi="Arial" w:cs="Arial"/>
                <w:sz w:val="22"/>
              </w:rPr>
              <w:t>rican</w:t>
            </w:r>
            <w:r w:rsidRPr="00655232">
              <w:rPr>
                <w:rFonts w:ascii="Arial" w:hAnsi="Arial" w:cs="Arial"/>
                <w:sz w:val="22"/>
              </w:rPr>
              <w:t xml:space="preserve"> Am Civil Rights Immersion Exp</w:t>
            </w:r>
          </w:p>
        </w:tc>
        <w:tc>
          <w:tcPr>
            <w:tcW w:w="5310" w:type="dxa"/>
          </w:tcPr>
          <w:p w14:paraId="7719F073" w14:textId="77777777" w:rsidR="00B82281" w:rsidRDefault="00B82281" w:rsidP="00B82281">
            <w:pPr>
              <w:rPr>
                <w:rFonts w:ascii="Arial" w:hAnsi="Arial" w:cs="Arial"/>
                <w:sz w:val="22"/>
              </w:rPr>
            </w:pPr>
          </w:p>
        </w:tc>
      </w:tr>
    </w:tbl>
    <w:p w14:paraId="50AAB18D" w14:textId="77777777" w:rsidR="00655232" w:rsidRDefault="00655232" w:rsidP="00655232">
      <w:pPr>
        <w:spacing w:before="120"/>
        <w:rPr>
          <w:rFonts w:ascii="Arial" w:hAnsi="Arial" w:cs="Arial"/>
          <w:sz w:val="20"/>
          <w:szCs w:val="20"/>
        </w:rPr>
      </w:pPr>
      <w:r w:rsidRPr="00CD3629">
        <w:rPr>
          <w:rFonts w:ascii="Arial" w:hAnsi="Arial" w:cs="Arial"/>
          <w:sz w:val="20"/>
          <w:szCs w:val="20"/>
        </w:rPr>
        <w:t>*You cannot take Digital Photography (ART 1160) on campus; however, the completely online option is permitted.</w:t>
      </w:r>
    </w:p>
    <w:p w14:paraId="3F6A3C00" w14:textId="77777777" w:rsidR="00655232" w:rsidRDefault="00655232" w:rsidP="006552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8C944E" w14:textId="13BA6ABA" w:rsidR="00655232" w:rsidRDefault="00655232" w:rsidP="00655232">
      <w:pPr>
        <w:pStyle w:val="Title"/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24252A"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6A5A2A85" wp14:editId="177A821C">
            <wp:simplePos x="0" y="0"/>
            <wp:positionH relativeFrom="column">
              <wp:posOffset>5454153</wp:posOffset>
            </wp:positionH>
            <wp:positionV relativeFrom="paragraph">
              <wp:posOffset>-254304</wp:posOffset>
            </wp:positionV>
            <wp:extent cx="1272208" cy="571610"/>
            <wp:effectExtent l="0" t="0" r="4445" b="0"/>
            <wp:wrapNone/>
            <wp:docPr id="990412879" name="Picture 1" descr="NH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90561" name="Picture 1" descr="NHC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8" cy="5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52A">
        <w:rPr>
          <w:rFonts w:ascii="Arial" w:hAnsi="Arial" w:cs="Arial"/>
          <w:b/>
          <w:bCs/>
          <w:sz w:val="28"/>
          <w:szCs w:val="28"/>
        </w:rPr>
        <w:t>PSEO Funding Restrictions</w:t>
      </w:r>
    </w:p>
    <w:p w14:paraId="31D94BD0" w14:textId="719D1950" w:rsidR="00D614C0" w:rsidRPr="00D614C0" w:rsidRDefault="00D614C0" w:rsidP="00D614C0"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669F18" wp14:editId="0EC557EE">
                <wp:simplePos x="0" y="0"/>
                <wp:positionH relativeFrom="margin">
                  <wp:posOffset>752475</wp:posOffset>
                </wp:positionH>
                <wp:positionV relativeFrom="paragraph">
                  <wp:posOffset>271780</wp:posOffset>
                </wp:positionV>
                <wp:extent cx="5356632" cy="618490"/>
                <wp:effectExtent l="19050" t="19050" r="15875" b="10160"/>
                <wp:wrapNone/>
                <wp:docPr id="165981099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632" cy="618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A1F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9967D" id="Rectangle 1" o:spid="_x0000_s1026" alt="&quot;&quot;" style="position:absolute;margin-left:59.25pt;margin-top:21.4pt;width:421.8pt;height:48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" filled="f" strokecolor="#0a1f8f" strokeweight="2.25pt">
                <w10:wrap anchorx="margin"/>
              </v:rect>
            </w:pict>
          </mc:Fallback>
        </mc:AlternateContent>
      </w:r>
    </w:p>
    <w:p w14:paraId="5122590A" w14:textId="77777777" w:rsidR="00655232" w:rsidRPr="00C039FB" w:rsidRDefault="00655232" w:rsidP="00655232">
      <w:pPr>
        <w:spacing w:before="120" w:after="240"/>
        <w:ind w:left="1152" w:right="1152"/>
        <w:jc w:val="center"/>
        <w:rPr>
          <w:rFonts w:ascii="Arial" w:hAnsi="Arial" w:cs="Arial"/>
          <w:sz w:val="22"/>
          <w:szCs w:val="22"/>
        </w:rPr>
      </w:pPr>
      <w:r w:rsidRPr="00C039FB">
        <w:rPr>
          <w:rFonts w:ascii="Arial" w:hAnsi="Arial" w:cs="Arial"/>
          <w:sz w:val="22"/>
          <w:szCs w:val="22"/>
        </w:rPr>
        <w:t>If you receive any communication from the college reminding you when tuition is due and that your registration could be cancelled, please contact Admissions immediately</w:t>
      </w:r>
      <w:r>
        <w:rPr>
          <w:rFonts w:ascii="Arial" w:hAnsi="Arial" w:cs="Arial"/>
          <w:sz w:val="22"/>
          <w:szCs w:val="22"/>
        </w:rPr>
        <w:t xml:space="preserve"> at</w:t>
      </w:r>
      <w:r w:rsidRPr="00C039FB">
        <w:rPr>
          <w:rFonts w:ascii="Arial" w:hAnsi="Arial" w:cs="Arial"/>
          <w:sz w:val="22"/>
          <w:szCs w:val="22"/>
        </w:rPr>
        <w:t xml:space="preserve"> (763) 424-0724 to verify you are coded correctly under the PSEO program.</w:t>
      </w:r>
    </w:p>
    <w:p w14:paraId="2DBEB345" w14:textId="77777777" w:rsidR="00655232" w:rsidRPr="00C039FB" w:rsidRDefault="00655232" w:rsidP="00655232">
      <w:pPr>
        <w:numPr>
          <w:ilvl w:val="0"/>
          <w:numId w:val="2"/>
        </w:numPr>
        <w:spacing w:after="360" w:line="240" w:lineRule="auto"/>
        <w:rPr>
          <w:rFonts w:ascii="Arial" w:hAnsi="Arial" w:cs="Arial"/>
          <w:b/>
          <w:i/>
          <w:sz w:val="22"/>
          <w:szCs w:val="22"/>
        </w:rPr>
      </w:pPr>
      <w:r w:rsidRPr="00C039FB">
        <w:rPr>
          <w:rFonts w:ascii="Arial" w:hAnsi="Arial" w:cs="Arial"/>
          <w:b/>
          <w:sz w:val="22"/>
          <w:szCs w:val="22"/>
        </w:rPr>
        <w:t xml:space="preserve">Registration: </w:t>
      </w:r>
      <w:r>
        <w:rPr>
          <w:rFonts w:ascii="Arial" w:hAnsi="Arial" w:cs="Arial"/>
          <w:sz w:val="22"/>
          <w:szCs w:val="22"/>
        </w:rPr>
        <w:t>Fall</w:t>
      </w:r>
      <w:r w:rsidRPr="00C039FB">
        <w:rPr>
          <w:rFonts w:ascii="Arial" w:hAnsi="Arial" w:cs="Arial"/>
          <w:sz w:val="22"/>
          <w:szCs w:val="22"/>
        </w:rPr>
        <w:t xml:space="preserve"> 2026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  <w:r w:rsidRPr="00C039FB">
        <w:rPr>
          <w:rFonts w:ascii="Arial" w:hAnsi="Arial" w:cs="Arial"/>
          <w:sz w:val="22"/>
          <w:szCs w:val="22"/>
        </w:rPr>
        <w:t>PSEO Registration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  <w:r w:rsidRPr="00C039FB">
        <w:rPr>
          <w:rFonts w:ascii="Arial" w:hAnsi="Arial" w:cs="Arial"/>
          <w:sz w:val="22"/>
          <w:szCs w:val="22"/>
        </w:rPr>
        <w:t xml:space="preserve">begins </w:t>
      </w:r>
      <w:r w:rsidRPr="00C039FB">
        <w:rPr>
          <w:rFonts w:ascii="Arial" w:hAnsi="Arial" w:cs="Arial"/>
          <w:b/>
          <w:sz w:val="22"/>
          <w:szCs w:val="22"/>
        </w:rPr>
        <w:t>Monday,</w:t>
      </w:r>
      <w:r w:rsidRPr="00C03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March</w:t>
      </w:r>
      <w:r w:rsidRPr="00C039F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30th</w:t>
      </w:r>
      <w:r w:rsidRPr="00C039FB">
        <w:rPr>
          <w:rFonts w:ascii="Arial" w:hAnsi="Arial" w:cs="Arial"/>
          <w:b/>
          <w:bCs/>
          <w:sz w:val="22"/>
          <w:szCs w:val="22"/>
        </w:rPr>
        <w:t>,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039FB">
        <w:rPr>
          <w:rFonts w:ascii="Arial" w:hAnsi="Arial" w:cs="Arial"/>
          <w:sz w:val="22"/>
          <w:szCs w:val="22"/>
        </w:rPr>
        <w:t>,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  <w:r w:rsidRPr="00C039FB">
        <w:rPr>
          <w:rFonts w:ascii="Arial" w:hAnsi="Arial" w:cs="Arial"/>
          <w:bCs/>
          <w:sz w:val="22"/>
          <w:szCs w:val="22"/>
        </w:rPr>
        <w:t>at</w:t>
      </w:r>
      <w:r w:rsidRPr="00C039FB">
        <w:rPr>
          <w:rFonts w:ascii="Arial" w:hAnsi="Arial" w:cs="Arial"/>
          <w:sz w:val="22"/>
          <w:szCs w:val="22"/>
        </w:rPr>
        <w:t xml:space="preserve"> 8:00am.</w:t>
      </w:r>
    </w:p>
    <w:p w14:paraId="07F0215B" w14:textId="77777777" w:rsidR="00655232" w:rsidRPr="00C039FB" w:rsidRDefault="00655232" w:rsidP="00655232">
      <w:pPr>
        <w:numPr>
          <w:ilvl w:val="0"/>
          <w:numId w:val="2"/>
        </w:numPr>
        <w:spacing w:after="360" w:line="240" w:lineRule="auto"/>
        <w:rPr>
          <w:rFonts w:ascii="Arial" w:hAnsi="Arial" w:cs="Arial"/>
          <w:sz w:val="22"/>
          <w:szCs w:val="22"/>
        </w:rPr>
      </w:pPr>
      <w:r w:rsidRPr="00C039FB">
        <w:rPr>
          <w:rFonts w:ascii="Arial" w:hAnsi="Arial" w:cs="Arial"/>
          <w:b/>
          <w:sz w:val="22"/>
          <w:szCs w:val="22"/>
        </w:rPr>
        <w:t xml:space="preserve">Below College Level Courses: </w:t>
      </w:r>
      <w:r w:rsidRPr="00C039FB">
        <w:rPr>
          <w:rFonts w:ascii="Arial" w:hAnsi="Arial" w:cs="Arial"/>
          <w:sz w:val="22"/>
          <w:szCs w:val="22"/>
        </w:rPr>
        <w:t>Please remember that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  <w:r w:rsidRPr="00C039FB">
        <w:rPr>
          <w:rFonts w:ascii="Arial" w:hAnsi="Arial" w:cs="Arial"/>
          <w:sz w:val="22"/>
          <w:szCs w:val="22"/>
        </w:rPr>
        <w:t xml:space="preserve">the PSEO program does not cover any classes at the 0800 or 0900 level or any classes with a special course fee.  The Records and Registration </w:t>
      </w:r>
      <w:r>
        <w:rPr>
          <w:rFonts w:ascii="Arial" w:hAnsi="Arial" w:cs="Arial"/>
          <w:sz w:val="22"/>
          <w:szCs w:val="22"/>
        </w:rPr>
        <w:t>O</w:t>
      </w:r>
      <w:r w:rsidRPr="00C039FB">
        <w:rPr>
          <w:rFonts w:ascii="Arial" w:hAnsi="Arial" w:cs="Arial"/>
          <w:sz w:val="22"/>
          <w:szCs w:val="22"/>
        </w:rPr>
        <w:t xml:space="preserve">ffice will drop you if you register </w:t>
      </w:r>
      <w:r>
        <w:rPr>
          <w:rFonts w:ascii="Arial" w:hAnsi="Arial" w:cs="Arial"/>
          <w:sz w:val="22"/>
          <w:szCs w:val="22"/>
        </w:rPr>
        <w:t xml:space="preserve">for </w:t>
      </w:r>
      <w:r w:rsidRPr="00C039FB">
        <w:rPr>
          <w:rFonts w:ascii="Arial" w:hAnsi="Arial" w:cs="Arial"/>
          <w:sz w:val="22"/>
          <w:szCs w:val="22"/>
        </w:rPr>
        <w:t xml:space="preserve">courses below 1000 or </w:t>
      </w:r>
      <w:r>
        <w:rPr>
          <w:rFonts w:ascii="Arial" w:hAnsi="Arial" w:cs="Arial"/>
          <w:sz w:val="22"/>
          <w:szCs w:val="22"/>
        </w:rPr>
        <w:t>if they</w:t>
      </w:r>
      <w:r w:rsidRPr="00C039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 any</w:t>
      </w:r>
      <w:r w:rsidRPr="00C039FB">
        <w:rPr>
          <w:rFonts w:ascii="Arial" w:hAnsi="Arial" w:cs="Arial"/>
          <w:sz w:val="22"/>
          <w:szCs w:val="22"/>
        </w:rPr>
        <w:t xml:space="preserve"> special fees. Paying out of pocket for courses with extra fees is </w:t>
      </w:r>
      <w:r w:rsidRPr="00C039FB">
        <w:rPr>
          <w:rFonts w:ascii="Arial" w:hAnsi="Arial" w:cs="Arial"/>
          <w:b/>
          <w:i/>
          <w:sz w:val="22"/>
          <w:szCs w:val="22"/>
          <w:u w:val="single"/>
        </w:rPr>
        <w:t>not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  <w:r w:rsidRPr="00C039FB">
        <w:rPr>
          <w:rFonts w:ascii="Arial" w:hAnsi="Arial" w:cs="Arial"/>
          <w:sz w:val="22"/>
          <w:szCs w:val="22"/>
        </w:rPr>
        <w:t>an option.</w:t>
      </w:r>
    </w:p>
    <w:p w14:paraId="223C57E2" w14:textId="77777777" w:rsidR="00655232" w:rsidRDefault="00655232" w:rsidP="00655232">
      <w:pPr>
        <w:spacing w:after="3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PSEO </w:t>
      </w:r>
      <w:r w:rsidRPr="00C039FB">
        <w:rPr>
          <w:rFonts w:ascii="Arial" w:hAnsi="Arial" w:cs="Arial"/>
          <w:b/>
          <w:sz w:val="22"/>
          <w:szCs w:val="22"/>
        </w:rPr>
        <w:t>Book</w:t>
      </w:r>
      <w:r>
        <w:rPr>
          <w:rFonts w:ascii="Arial" w:hAnsi="Arial" w:cs="Arial"/>
          <w:b/>
          <w:sz w:val="22"/>
          <w:szCs w:val="22"/>
        </w:rPr>
        <w:t>s:</w:t>
      </w:r>
      <w:r w:rsidRPr="00C039FB">
        <w:rPr>
          <w:rFonts w:ascii="Arial" w:hAnsi="Arial" w:cs="Arial"/>
          <w:sz w:val="22"/>
          <w:szCs w:val="22"/>
        </w:rPr>
        <w:t xml:space="preserve"> </w:t>
      </w:r>
    </w:p>
    <w:p w14:paraId="000438F2" w14:textId="77777777" w:rsidR="00655232" w:rsidRDefault="00655232" w:rsidP="00655232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the </w:t>
      </w:r>
      <w:hyperlink r:id="rId6" w:history="1">
        <w:r w:rsidRPr="004817E8">
          <w:rPr>
            <w:rStyle w:val="Hyperlink"/>
            <w:rFonts w:ascii="Arial" w:hAnsi="Arial" w:cs="Arial"/>
            <w:color w:val="0000FF"/>
            <w:sz w:val="22"/>
            <w:szCs w:val="22"/>
          </w:rPr>
          <w:t>NHCC Bookstore website</w:t>
        </w:r>
      </w:hyperlink>
      <w:r>
        <w:rPr>
          <w:rFonts w:ascii="Arial" w:hAnsi="Arial" w:cs="Arial"/>
          <w:sz w:val="22"/>
          <w:szCs w:val="22"/>
        </w:rPr>
        <w:t xml:space="preserve"> to find if your textbooks are digital or print.</w:t>
      </w:r>
    </w:p>
    <w:p w14:paraId="3D094619" w14:textId="77777777" w:rsidR="00655232" w:rsidRDefault="00655232" w:rsidP="00655232">
      <w:pPr>
        <w:pStyle w:val="ListParagraph"/>
        <w:numPr>
          <w:ilvl w:val="0"/>
          <w:numId w:val="3"/>
        </w:numPr>
        <w:spacing w:after="3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4817E8">
        <w:rPr>
          <w:rFonts w:ascii="Arial" w:hAnsi="Arial" w:cs="Arial"/>
          <w:b/>
          <w:bCs/>
          <w:sz w:val="22"/>
          <w:szCs w:val="22"/>
        </w:rPr>
        <w:t>digital</w:t>
      </w:r>
      <w:r>
        <w:rPr>
          <w:rFonts w:ascii="Arial" w:hAnsi="Arial" w:cs="Arial"/>
          <w:sz w:val="22"/>
          <w:szCs w:val="22"/>
        </w:rPr>
        <w:t>, there are no steps you need to take.</w:t>
      </w:r>
    </w:p>
    <w:p w14:paraId="27D3110A" w14:textId="77777777" w:rsidR="00655232" w:rsidRPr="004817E8" w:rsidRDefault="00655232" w:rsidP="00655232">
      <w:pPr>
        <w:pStyle w:val="ListParagraph"/>
        <w:numPr>
          <w:ilvl w:val="0"/>
          <w:numId w:val="3"/>
        </w:numPr>
        <w:spacing w:after="3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4817E8">
        <w:rPr>
          <w:rFonts w:ascii="Arial" w:hAnsi="Arial" w:cs="Arial"/>
          <w:b/>
          <w:bCs/>
          <w:sz w:val="22"/>
          <w:szCs w:val="22"/>
        </w:rPr>
        <w:t>print</w:t>
      </w:r>
      <w:r>
        <w:rPr>
          <w:rFonts w:ascii="Arial" w:hAnsi="Arial" w:cs="Arial"/>
          <w:sz w:val="22"/>
          <w:szCs w:val="22"/>
        </w:rPr>
        <w:t xml:space="preserve">, you must </w:t>
      </w:r>
      <w:r w:rsidRPr="004817E8">
        <w:rPr>
          <w:rFonts w:ascii="Arial" w:hAnsi="Arial" w:cs="Arial"/>
          <w:sz w:val="22"/>
          <w:szCs w:val="22"/>
        </w:rPr>
        <w:t xml:space="preserve">get </w:t>
      </w:r>
      <w:r>
        <w:rPr>
          <w:rFonts w:ascii="Arial" w:hAnsi="Arial" w:cs="Arial"/>
          <w:sz w:val="22"/>
          <w:szCs w:val="22"/>
        </w:rPr>
        <w:t>your</w:t>
      </w:r>
      <w:r w:rsidRPr="004817E8">
        <w:rPr>
          <w:rFonts w:ascii="Arial" w:hAnsi="Arial" w:cs="Arial"/>
          <w:sz w:val="22"/>
          <w:szCs w:val="22"/>
        </w:rPr>
        <w:t xml:space="preserve"> books in-person from the NHCC Bookstore</w:t>
      </w:r>
      <w:r>
        <w:rPr>
          <w:rFonts w:ascii="Arial" w:hAnsi="Arial" w:cs="Arial"/>
          <w:sz w:val="22"/>
          <w:szCs w:val="22"/>
        </w:rPr>
        <w:t xml:space="preserve">, beginning </w:t>
      </w:r>
      <w:r w:rsidRPr="004817E8">
        <w:rPr>
          <w:rFonts w:ascii="Arial" w:hAnsi="Arial" w:cs="Arial"/>
          <w:b/>
          <w:bCs/>
          <w:sz w:val="22"/>
          <w:szCs w:val="22"/>
        </w:rPr>
        <w:t>July 27th</w:t>
      </w:r>
      <w:r>
        <w:rPr>
          <w:rFonts w:ascii="Arial" w:hAnsi="Arial" w:cs="Arial"/>
          <w:sz w:val="22"/>
          <w:szCs w:val="22"/>
        </w:rPr>
        <w:t>.</w:t>
      </w:r>
    </w:p>
    <w:p w14:paraId="674179CF" w14:textId="77777777" w:rsidR="00655232" w:rsidRPr="004817E8" w:rsidRDefault="00655232" w:rsidP="00655232">
      <w:pPr>
        <w:widowControl w:val="0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4817E8">
        <w:rPr>
          <w:rFonts w:ascii="Arial" w:hAnsi="Arial" w:cs="Arial"/>
          <w:sz w:val="22"/>
          <w:szCs w:val="22"/>
        </w:rPr>
        <w:t xml:space="preserve">You can find details about PSEO book charging on the </w:t>
      </w:r>
      <w:hyperlink r:id="rId7" w:history="1">
        <w:r w:rsidRPr="004817E8">
          <w:rPr>
            <w:rStyle w:val="Hyperlink"/>
            <w:rFonts w:ascii="Arial" w:hAnsi="Arial" w:cs="Arial"/>
            <w:color w:val="0000FF"/>
            <w:sz w:val="22"/>
            <w:szCs w:val="22"/>
          </w:rPr>
          <w:t>NHCC Bookstore website</w:t>
        </w:r>
      </w:hyperlink>
      <w:r w:rsidRPr="004817E8">
        <w:rPr>
          <w:rFonts w:ascii="Arial" w:hAnsi="Arial" w:cs="Arial"/>
          <w:sz w:val="22"/>
          <w:szCs w:val="22"/>
        </w:rPr>
        <w:t>.</w:t>
      </w:r>
    </w:p>
    <w:p w14:paraId="55EAD77C" w14:textId="77777777" w:rsidR="00655232" w:rsidRPr="00C039FB" w:rsidRDefault="00655232" w:rsidP="00655232">
      <w:pPr>
        <w:widowControl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D598F5B" w14:textId="77777777" w:rsidR="00655232" w:rsidRPr="00C039FB" w:rsidRDefault="00655232" w:rsidP="00655232">
      <w:pPr>
        <w:widowControl w:val="0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C039FB">
        <w:rPr>
          <w:rFonts w:ascii="Arial" w:hAnsi="Arial" w:cs="Arial"/>
          <w:b/>
          <w:sz w:val="22"/>
          <w:szCs w:val="22"/>
        </w:rPr>
        <w:t xml:space="preserve">Book Charging List: </w:t>
      </w:r>
      <w:r w:rsidRPr="00C039FB">
        <w:rPr>
          <w:rFonts w:ascii="Arial" w:hAnsi="Arial" w:cs="Arial"/>
          <w:bCs/>
          <w:sz w:val="22"/>
          <w:szCs w:val="22"/>
        </w:rPr>
        <w:t>The bookstore maintains a PSEO book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039FB">
        <w:rPr>
          <w:rFonts w:ascii="Arial" w:hAnsi="Arial" w:cs="Arial"/>
          <w:bCs/>
          <w:sz w:val="22"/>
          <w:szCs w:val="22"/>
        </w:rPr>
        <w:t>charging list. If you have any issues getting your books, please contact the Admissions department to make sure you have an updated 3-part form or if you have any other hold that would block your ability to charge books.</w:t>
      </w:r>
      <w:r w:rsidRPr="00C039FB">
        <w:rPr>
          <w:rFonts w:ascii="Arial" w:hAnsi="Arial" w:cs="Arial"/>
          <w:b/>
          <w:sz w:val="22"/>
          <w:szCs w:val="22"/>
        </w:rPr>
        <w:t xml:space="preserve"> </w:t>
      </w:r>
    </w:p>
    <w:p w14:paraId="5FDD71B2" w14:textId="77777777" w:rsidR="00655232" w:rsidRPr="00C039FB" w:rsidRDefault="00655232" w:rsidP="00655232">
      <w:pPr>
        <w:widowControl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4D5F991F" w14:textId="77777777" w:rsidR="00655232" w:rsidRPr="00C039FB" w:rsidRDefault="00655232" w:rsidP="00655232">
      <w:pPr>
        <w:widowControl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039FB">
        <w:rPr>
          <w:rFonts w:ascii="Arial" w:hAnsi="Arial" w:cs="Arial"/>
          <w:b/>
          <w:sz w:val="22"/>
          <w:szCs w:val="22"/>
        </w:rPr>
        <w:t xml:space="preserve">Other issues: </w:t>
      </w:r>
      <w:r w:rsidRPr="00C039FB">
        <w:rPr>
          <w:rFonts w:ascii="Arial" w:hAnsi="Arial" w:cs="Arial"/>
          <w:bCs/>
          <w:sz w:val="22"/>
          <w:szCs w:val="22"/>
        </w:rPr>
        <w:t xml:space="preserve">If you </w:t>
      </w:r>
      <w:r w:rsidRPr="00C039FB">
        <w:rPr>
          <w:rFonts w:ascii="Arial" w:hAnsi="Arial" w:cs="Arial"/>
          <w:bCs/>
          <w:i/>
          <w:iCs/>
          <w:sz w:val="22"/>
          <w:szCs w:val="22"/>
        </w:rPr>
        <w:t>drop</w:t>
      </w:r>
      <w:r w:rsidRPr="00C039FB">
        <w:rPr>
          <w:rFonts w:ascii="Arial" w:hAnsi="Arial" w:cs="Arial"/>
          <w:bCs/>
          <w:sz w:val="22"/>
          <w:szCs w:val="22"/>
        </w:rPr>
        <w:t xml:space="preserve"> (i.e. go from 3 courses to 2 courses), </w:t>
      </w:r>
      <w:r w:rsidRPr="00C039FB">
        <w:rPr>
          <w:rFonts w:ascii="Arial" w:hAnsi="Arial" w:cs="Arial"/>
          <w:bCs/>
          <w:i/>
          <w:iCs/>
          <w:sz w:val="22"/>
          <w:szCs w:val="22"/>
        </w:rPr>
        <w:t>drop via course exchange</w:t>
      </w:r>
      <w:r w:rsidRPr="00C039FB">
        <w:rPr>
          <w:rFonts w:ascii="Arial" w:hAnsi="Arial" w:cs="Arial"/>
          <w:bCs/>
          <w:sz w:val="22"/>
          <w:szCs w:val="22"/>
        </w:rPr>
        <w:t xml:space="preserve">, </w:t>
      </w:r>
      <w:r w:rsidRPr="00C039FB">
        <w:rPr>
          <w:rFonts w:ascii="Arial" w:hAnsi="Arial" w:cs="Arial"/>
          <w:bCs/>
          <w:i/>
          <w:iCs/>
          <w:sz w:val="22"/>
          <w:szCs w:val="22"/>
        </w:rPr>
        <w:t>withdraw</w:t>
      </w:r>
      <w:r w:rsidRPr="00C039FB">
        <w:rPr>
          <w:rFonts w:ascii="Arial" w:hAnsi="Arial" w:cs="Arial"/>
          <w:bCs/>
          <w:sz w:val="22"/>
          <w:szCs w:val="22"/>
        </w:rPr>
        <w:t xml:space="preserve"> from a course, </w:t>
      </w:r>
      <w:r w:rsidRPr="00C50B01">
        <w:rPr>
          <w:rFonts w:ascii="Arial" w:hAnsi="Arial" w:cs="Arial"/>
          <w:bCs/>
          <w:i/>
          <w:iCs/>
          <w:sz w:val="22"/>
          <w:szCs w:val="22"/>
        </w:rPr>
        <w:t>WN</w:t>
      </w:r>
      <w:r w:rsidRPr="00C039FB">
        <w:rPr>
          <w:rFonts w:ascii="Arial" w:hAnsi="Arial" w:cs="Arial"/>
          <w:bCs/>
          <w:sz w:val="22"/>
          <w:szCs w:val="22"/>
        </w:rPr>
        <w:t xml:space="preserve"> (withdraw for non-attendance), or</w:t>
      </w:r>
      <w:r w:rsidRPr="00C50B01">
        <w:rPr>
          <w:rFonts w:ascii="Arial" w:hAnsi="Arial" w:cs="Arial"/>
          <w:bCs/>
          <w:i/>
          <w:iCs/>
          <w:sz w:val="22"/>
          <w:szCs w:val="22"/>
        </w:rPr>
        <w:t xml:space="preserve"> FN</w:t>
      </w:r>
      <w:r w:rsidRPr="00C039FB">
        <w:rPr>
          <w:rFonts w:ascii="Arial" w:hAnsi="Arial" w:cs="Arial"/>
          <w:bCs/>
          <w:sz w:val="22"/>
          <w:szCs w:val="22"/>
        </w:rPr>
        <w:t xml:space="preserve"> (failure for non-attendance), you must return the textbooks, materials and/or bundles in usable condition along with any unused access codes (if applicable) to the bookstore </w:t>
      </w:r>
      <w:r w:rsidRPr="00C039FB">
        <w:rPr>
          <w:rFonts w:ascii="Arial" w:hAnsi="Arial" w:cs="Arial"/>
          <w:b/>
          <w:sz w:val="22"/>
          <w:szCs w:val="22"/>
          <w:u w:val="single"/>
        </w:rPr>
        <w:t>within 5 business days of the drop or withdraw</w:t>
      </w:r>
      <w:r w:rsidRPr="00C039FB">
        <w:rPr>
          <w:rFonts w:ascii="Arial" w:hAnsi="Arial" w:cs="Arial"/>
          <w:bCs/>
          <w:sz w:val="22"/>
          <w:szCs w:val="22"/>
        </w:rPr>
        <w:t>. You will be responsible for 100% of the original price for textbooks not re</w:t>
      </w:r>
      <w:r>
        <w:rPr>
          <w:rFonts w:ascii="Arial" w:hAnsi="Arial" w:cs="Arial"/>
          <w:bCs/>
          <w:sz w:val="22"/>
          <w:szCs w:val="22"/>
        </w:rPr>
        <w:t>t</w:t>
      </w:r>
      <w:r w:rsidRPr="00C039FB">
        <w:rPr>
          <w:rFonts w:ascii="Arial" w:hAnsi="Arial" w:cs="Arial"/>
          <w:bCs/>
          <w:sz w:val="22"/>
          <w:szCs w:val="22"/>
        </w:rPr>
        <w:t xml:space="preserve">urned or if you violated the access code, for any </w:t>
      </w:r>
      <w:r w:rsidRPr="00C039FB">
        <w:rPr>
          <w:rFonts w:ascii="Arial" w:hAnsi="Arial" w:cs="Arial"/>
          <w:bCs/>
          <w:i/>
          <w:iCs/>
          <w:sz w:val="22"/>
          <w:szCs w:val="22"/>
        </w:rPr>
        <w:t>dropped or withdrawn</w:t>
      </w:r>
      <w:r w:rsidRPr="00C039FB">
        <w:rPr>
          <w:rFonts w:ascii="Arial" w:hAnsi="Arial" w:cs="Arial"/>
          <w:bCs/>
          <w:sz w:val="22"/>
          <w:szCs w:val="22"/>
        </w:rPr>
        <w:t xml:space="preserve"> classes.</w:t>
      </w:r>
    </w:p>
    <w:p w14:paraId="678223D5" w14:textId="77777777" w:rsidR="00655232" w:rsidRPr="00C039FB" w:rsidRDefault="00655232" w:rsidP="00655232">
      <w:pPr>
        <w:widowControl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06A59FF6" w14:textId="77777777" w:rsidR="00655232" w:rsidRDefault="00655232" w:rsidP="00655232">
      <w:pPr>
        <w:widowControl w:val="0"/>
        <w:spacing w:after="240" w:line="240" w:lineRule="auto"/>
        <w:rPr>
          <w:rFonts w:ascii="Arial" w:hAnsi="Arial" w:cs="Arial"/>
          <w:bCs/>
          <w:sz w:val="22"/>
          <w:szCs w:val="22"/>
        </w:rPr>
      </w:pPr>
      <w:r w:rsidRPr="00C039FB">
        <w:rPr>
          <w:rFonts w:ascii="Arial" w:hAnsi="Arial" w:cs="Arial"/>
          <w:b/>
          <w:sz w:val="22"/>
          <w:szCs w:val="22"/>
        </w:rPr>
        <w:t xml:space="preserve">End of Semester Book Return Reminder: </w:t>
      </w:r>
      <w:r w:rsidRPr="004817E8">
        <w:rPr>
          <w:rFonts w:ascii="Arial" w:hAnsi="Arial" w:cs="Arial"/>
          <w:bCs/>
          <w:sz w:val="22"/>
          <w:szCs w:val="22"/>
          <w:u w:val="single"/>
        </w:rPr>
        <w:t>Printed b</w:t>
      </w:r>
      <w:r w:rsidRPr="00C039FB">
        <w:rPr>
          <w:rFonts w:ascii="Arial" w:hAnsi="Arial" w:cs="Arial"/>
          <w:bCs/>
          <w:sz w:val="22"/>
          <w:szCs w:val="22"/>
          <w:u w:val="single"/>
        </w:rPr>
        <w:t>ooks are due on the last day of finals</w:t>
      </w:r>
      <w:r w:rsidRPr="00C039FB">
        <w:rPr>
          <w:rFonts w:ascii="Arial" w:hAnsi="Arial" w:cs="Arial"/>
          <w:bCs/>
          <w:sz w:val="22"/>
          <w:szCs w:val="22"/>
        </w:rPr>
        <w:t xml:space="preserve">. </w:t>
      </w:r>
    </w:p>
    <w:p w14:paraId="1AF66454" w14:textId="77777777" w:rsidR="00655232" w:rsidRDefault="00655232" w:rsidP="00655232">
      <w:pPr>
        <w:widowControl w:val="0"/>
        <w:spacing w:after="24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Fall</w:t>
      </w:r>
      <w:r w:rsidRPr="00C039FB">
        <w:rPr>
          <w:rFonts w:ascii="Arial" w:hAnsi="Arial" w:cs="Arial"/>
          <w:b/>
          <w:sz w:val="22"/>
          <w:szCs w:val="22"/>
        </w:rPr>
        <w:t xml:space="preserve"> 2026</w:t>
      </w:r>
      <w:r w:rsidRPr="00C039FB">
        <w:rPr>
          <w:rFonts w:ascii="Arial" w:hAnsi="Arial" w:cs="Arial"/>
          <w:bCs/>
          <w:sz w:val="22"/>
          <w:szCs w:val="22"/>
        </w:rPr>
        <w:t xml:space="preserve"> final book return is </w:t>
      </w:r>
      <w:r>
        <w:rPr>
          <w:rFonts w:ascii="Arial" w:hAnsi="Arial" w:cs="Arial"/>
          <w:b/>
          <w:sz w:val="22"/>
          <w:szCs w:val="22"/>
        </w:rPr>
        <w:t>Saturday</w:t>
      </w:r>
      <w:r w:rsidRPr="00C039FB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December</w:t>
      </w:r>
      <w:r w:rsidRPr="00C039FB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9</w:t>
      </w:r>
      <w:r w:rsidRPr="00C039FB">
        <w:rPr>
          <w:rFonts w:ascii="Arial" w:hAnsi="Arial" w:cs="Arial"/>
          <w:b/>
          <w:sz w:val="22"/>
          <w:szCs w:val="22"/>
        </w:rPr>
        <w:t>th</w:t>
      </w:r>
      <w:r w:rsidRPr="00C039FB">
        <w:rPr>
          <w:rFonts w:ascii="Arial" w:hAnsi="Arial" w:cs="Arial"/>
          <w:bCs/>
          <w:sz w:val="22"/>
          <w:szCs w:val="22"/>
        </w:rPr>
        <w:t>. You must return textbooks and materials for completed courses (including CD’s, lab manuals and workbooks) to the bookstore in usable condition by 4:00pm.  A fee equal to 75% of the original cost will be due for any textbooks not returned or not returned in saleable condition. You may return textbooks and materials as soon as a course is completed.</w:t>
      </w:r>
    </w:p>
    <w:p w14:paraId="7973BAB0" w14:textId="77777777" w:rsidR="00655232" w:rsidRPr="008270F0" w:rsidRDefault="00655232" w:rsidP="00655232">
      <w:pPr>
        <w:widowControl w:val="0"/>
        <w:spacing w:after="0" w:line="240" w:lineRule="auto"/>
        <w:rPr>
          <w:rFonts w:ascii="Arial" w:hAnsi="Arial" w:cs="Arial"/>
          <w:b/>
          <w:i/>
          <w:iCs/>
          <w:sz w:val="22"/>
          <w:szCs w:val="22"/>
        </w:rPr>
      </w:pPr>
      <w:r w:rsidRPr="008270F0">
        <w:rPr>
          <w:rFonts w:ascii="Arial" w:hAnsi="Arial" w:cs="Arial"/>
          <w:b/>
          <w:i/>
          <w:iCs/>
          <w:sz w:val="22"/>
          <w:szCs w:val="22"/>
        </w:rPr>
        <w:t xml:space="preserve">The bookstore will not accept textbooks and materials for return after the deadline. Students who do not return their books on time will have a textbook balance </w:t>
      </w:r>
      <w:proofErr w:type="gramStart"/>
      <w:r w:rsidRPr="008270F0">
        <w:rPr>
          <w:rFonts w:ascii="Arial" w:hAnsi="Arial" w:cs="Arial"/>
          <w:b/>
          <w:i/>
          <w:iCs/>
          <w:sz w:val="22"/>
          <w:szCs w:val="22"/>
        </w:rPr>
        <w:t>hold</w:t>
      </w:r>
      <w:proofErr w:type="gramEnd"/>
      <w:r w:rsidRPr="008270F0">
        <w:rPr>
          <w:rFonts w:ascii="Arial" w:hAnsi="Arial" w:cs="Arial"/>
          <w:b/>
          <w:i/>
          <w:iCs/>
          <w:sz w:val="22"/>
          <w:szCs w:val="22"/>
        </w:rPr>
        <w:t xml:space="preserve"> placed on their account.  Please be informed that the college can assess up to $50.00 in late fees per semester.</w:t>
      </w:r>
    </w:p>
    <w:p w14:paraId="05D6964C" w14:textId="77777777" w:rsidR="0078258E" w:rsidRDefault="0078258E"/>
    <w:sectPr w:rsidR="0078258E" w:rsidSect="006552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B52"/>
    <w:multiLevelType w:val="hybridMultilevel"/>
    <w:tmpl w:val="3CDC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6F50"/>
    <w:multiLevelType w:val="hybridMultilevel"/>
    <w:tmpl w:val="36FE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25D3C"/>
    <w:multiLevelType w:val="hybridMultilevel"/>
    <w:tmpl w:val="1E340D42"/>
    <w:lvl w:ilvl="0" w:tplc="FAB49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428199">
    <w:abstractNumId w:val="1"/>
  </w:num>
  <w:num w:numId="2" w16cid:durableId="662971252">
    <w:abstractNumId w:val="2"/>
  </w:num>
  <w:num w:numId="3" w16cid:durableId="131441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32"/>
    <w:rsid w:val="00261233"/>
    <w:rsid w:val="00622B1A"/>
    <w:rsid w:val="00655232"/>
    <w:rsid w:val="00677737"/>
    <w:rsid w:val="0078258E"/>
    <w:rsid w:val="00875D29"/>
    <w:rsid w:val="0087656C"/>
    <w:rsid w:val="00B82281"/>
    <w:rsid w:val="00D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936E"/>
  <w15:chartTrackingRefBased/>
  <w15:docId w15:val="{9A687765-D490-4B28-8D6A-CC60E03D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33"/>
  </w:style>
  <w:style w:type="paragraph" w:styleId="Heading1">
    <w:name w:val="heading 1"/>
    <w:basedOn w:val="Normal"/>
    <w:next w:val="Normal"/>
    <w:link w:val="Heading1Char"/>
    <w:uiPriority w:val="9"/>
    <w:qFormat/>
    <w:rsid w:val="00655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2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23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55232"/>
    <w:rPr>
      <w:rFonts w:ascii="Times New Roman" w:eastAsia="Times New Roman" w:hAnsi="Times New Roman" w:cs="Times New Roman"/>
      <w:kern w:val="0"/>
      <w14:ligatures w14:val="none"/>
    </w:rPr>
  </w:style>
  <w:style w:type="character" w:styleId="BookTitle">
    <w:name w:val="Book Title"/>
    <w:basedOn w:val="DefaultParagraphFont"/>
    <w:uiPriority w:val="33"/>
    <w:qFormat/>
    <w:rsid w:val="0065523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552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bookstore.nhcc.edu/SiteText?id=88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bookstore.nhcc.edu/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737</Words>
  <Characters>4580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Hennepin Community College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Bartelle, Candice J</dc:creator>
  <cp:keywords/>
  <dc:description/>
  <cp:lastModifiedBy>Bartelle, Candice J</cp:lastModifiedBy>
  <cp:revision>2</cp:revision>
  <dcterms:created xsi:type="dcterms:W3CDTF">2026-05-05T18:49:00Z</dcterms:created>
  <dcterms:modified xsi:type="dcterms:W3CDTF">2026-05-05T22:35:00Z</dcterms:modified>
</cp:coreProperties>
</file>