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B7A7" w14:textId="22410F59" w:rsidR="00E22924" w:rsidRDefault="00061A05" w:rsidP="00061A05">
      <w:pPr>
        <w:pStyle w:val="Heading1"/>
      </w:pPr>
      <w:r>
        <w:t>Fall 2025 Campus Feedback &amp; Policy Committee Responses</w:t>
      </w:r>
    </w:p>
    <w:p w14:paraId="208A8B24" w14:textId="71CC21C4" w:rsidR="00F86754" w:rsidRDefault="00F86754" w:rsidP="00F86754">
      <w:r>
        <w:t>General Comment: do a find and replace for “instructor</w:t>
      </w:r>
      <w:r w:rsidR="00512D4C">
        <w:t>” -&gt; “faculty”</w:t>
      </w:r>
    </w:p>
    <w:p w14:paraId="6FE30A14" w14:textId="1855AB47" w:rsidR="00326151" w:rsidRPr="001B614E" w:rsidRDefault="00326151" w:rsidP="001B614E">
      <w:pPr>
        <w:pStyle w:val="Response"/>
      </w:pPr>
      <w:r w:rsidRPr="001B614E">
        <w:t xml:space="preserve">Agreement from the committee to do this on </w:t>
      </w:r>
      <w:r w:rsidR="001B614E" w:rsidRPr="001B614E">
        <w:t>policies currently under review this Fall.</w:t>
      </w:r>
    </w:p>
    <w:p w14:paraId="72EA7728" w14:textId="0D555443" w:rsidR="00061A05" w:rsidRDefault="00E204C5" w:rsidP="00E204C5">
      <w:pPr>
        <w:pStyle w:val="Heading2"/>
      </w:pPr>
      <w:r>
        <w:t>2.9.1 Satisfactory Academic Progress Procedure</w:t>
      </w:r>
    </w:p>
    <w:p w14:paraId="72A9FBA5" w14:textId="166C556F" w:rsidR="00E204C5" w:rsidRDefault="00E204C5" w:rsidP="00E204C5">
      <w:pPr>
        <w:pStyle w:val="Heading3"/>
      </w:pPr>
      <w:r>
        <w:t>Staff</w:t>
      </w:r>
    </w:p>
    <w:p w14:paraId="2EBDCB5C" w14:textId="7E232C17" w:rsidR="000F3570" w:rsidRPr="000F3570" w:rsidRDefault="000F3570" w:rsidP="000F3570">
      <w:pPr>
        <w:pStyle w:val="Heading4"/>
      </w:pPr>
      <w:r>
        <w:t>Person #1</w:t>
      </w:r>
    </w:p>
    <w:p w14:paraId="685EF0B2" w14:textId="6FD4CEC3" w:rsidR="00E204C5" w:rsidRDefault="00E204C5" w:rsidP="001B614E">
      <w:pPr>
        <w:spacing w:after="0"/>
      </w:pPr>
      <w:r>
        <w:t xml:space="preserve">Need to correct Subpart </w:t>
      </w:r>
      <w:proofErr w:type="gramStart"/>
      <w:r>
        <w:t>B. #</w:t>
      </w:r>
      <w:proofErr w:type="gramEnd"/>
      <w:r>
        <w:t>2, approved language in the comment of the document</w:t>
      </w:r>
    </w:p>
    <w:p w14:paraId="59814E87" w14:textId="75FB8A0A" w:rsidR="00F95362" w:rsidRDefault="00AD519F" w:rsidP="001B614E">
      <w:pPr>
        <w:pStyle w:val="Response"/>
      </w:pPr>
      <w:r>
        <w:t>Fixe</w:t>
      </w:r>
      <w:r w:rsidR="00D15511">
        <w:t>d, thanks</w:t>
      </w:r>
      <w:r w:rsidR="00AF6A8A">
        <w:t>!</w:t>
      </w:r>
    </w:p>
    <w:p w14:paraId="4B85E4CD" w14:textId="548DA860" w:rsidR="000F3570" w:rsidRPr="000F3570" w:rsidRDefault="000F3570" w:rsidP="000F3570">
      <w:pPr>
        <w:pStyle w:val="Heading4"/>
      </w:pPr>
      <w:r>
        <w:t>Person #2</w:t>
      </w:r>
    </w:p>
    <w:p w14:paraId="57D663E3" w14:textId="089EDDEA" w:rsidR="00E204C5" w:rsidRPr="001B614E" w:rsidRDefault="00E204C5" w:rsidP="001B614E">
      <w:r w:rsidRPr="001B614E">
        <w:t>Part 8: fix new grade to NW (not WN), Non-attending Withdraw</w:t>
      </w:r>
    </w:p>
    <w:p w14:paraId="7AC7B0F0" w14:textId="0491668E" w:rsidR="002D4AC9" w:rsidRDefault="002D4AC9" w:rsidP="001B614E">
      <w:pPr>
        <w:pStyle w:val="Response"/>
      </w:pPr>
      <w:r>
        <w:t>Fix</w:t>
      </w:r>
      <w:r w:rsidR="005411DC">
        <w:t>ed, thanks</w:t>
      </w:r>
      <w:r w:rsidR="00D56E6C">
        <w:t>!</w:t>
      </w:r>
    </w:p>
    <w:p w14:paraId="7F3820D7" w14:textId="480CC48D" w:rsidR="006D62ED" w:rsidRDefault="006D62ED" w:rsidP="006A700F">
      <w:pPr>
        <w:pStyle w:val="Heading4"/>
      </w:pPr>
      <w:r>
        <w:t>Person #3</w:t>
      </w:r>
    </w:p>
    <w:p w14:paraId="0679B6B6" w14:textId="77777777" w:rsidR="006A700F" w:rsidRPr="001B614E" w:rsidRDefault="006A700F" w:rsidP="001B614E">
      <w:r w:rsidRPr="001B614E">
        <w:t>Part 8: fix new grade to NW (not WN), Non-attending Withdraw</w:t>
      </w:r>
    </w:p>
    <w:p w14:paraId="209AE4A2" w14:textId="77777777" w:rsidR="001709AD" w:rsidRDefault="001709AD" w:rsidP="001B614E">
      <w:pPr>
        <w:pStyle w:val="Response"/>
      </w:pPr>
      <w:r>
        <w:t>Fixed, thanks!</w:t>
      </w:r>
    </w:p>
    <w:p w14:paraId="01B2D407" w14:textId="41066652" w:rsidR="00E204C5" w:rsidRDefault="00E204C5" w:rsidP="00E204C5">
      <w:pPr>
        <w:pStyle w:val="Heading2"/>
      </w:pPr>
      <w:r>
        <w:t>3.8.1 Student Complaints and Grievances Procedure</w:t>
      </w:r>
    </w:p>
    <w:p w14:paraId="39ED2C3C" w14:textId="44628847" w:rsidR="00E204C5" w:rsidRDefault="00E204C5" w:rsidP="00E204C5">
      <w:pPr>
        <w:pStyle w:val="Heading3"/>
      </w:pPr>
      <w:r>
        <w:t>Faculty</w:t>
      </w:r>
    </w:p>
    <w:p w14:paraId="1C177DF3" w14:textId="555274D4" w:rsidR="000F3570" w:rsidRPr="000F3570" w:rsidRDefault="000F3570" w:rsidP="000F3570">
      <w:pPr>
        <w:pStyle w:val="Heading4"/>
      </w:pPr>
      <w:r>
        <w:t>Person #1</w:t>
      </w:r>
    </w:p>
    <w:p w14:paraId="54C9F434" w14:textId="77777777" w:rsidR="00E204C5" w:rsidRPr="00E204C5" w:rsidRDefault="00E204C5" w:rsidP="00E204C5">
      <w:pPr>
        <w:ind w:left="720"/>
        <w:rPr>
          <w:b/>
          <w:bCs/>
        </w:rPr>
      </w:pPr>
      <w:r w:rsidRPr="00E204C5">
        <w:rPr>
          <w:b/>
          <w:bCs/>
        </w:rPr>
        <w:t xml:space="preserve">Part 5. </w:t>
      </w:r>
      <w:proofErr w:type="gramStart"/>
      <w:r w:rsidRPr="00E204C5">
        <w:rPr>
          <w:b/>
          <w:bCs/>
        </w:rPr>
        <w:t>Retaliation Prohibited</w:t>
      </w:r>
      <w:proofErr w:type="gramEnd"/>
      <w:r w:rsidRPr="00E204C5">
        <w:rPr>
          <w:b/>
          <w:bCs/>
        </w:rPr>
        <w:t>.</w:t>
      </w:r>
    </w:p>
    <w:p w14:paraId="62AA4714" w14:textId="77777777" w:rsidR="00E204C5" w:rsidRPr="00E204C5" w:rsidRDefault="00E204C5" w:rsidP="00E204C5">
      <w:pPr>
        <w:ind w:left="720"/>
        <w:rPr>
          <w:b/>
          <w:bCs/>
        </w:rPr>
      </w:pPr>
      <w:r w:rsidRPr="00E204C5">
        <w:t xml:space="preserve">No retaliation of any kind shall be taken against a student for participating in or refusing to participate, in </w:t>
      </w:r>
      <w:proofErr w:type="gramStart"/>
      <w:r w:rsidRPr="00E204C5">
        <w:t>a grievance</w:t>
      </w:r>
      <w:proofErr w:type="gramEnd"/>
      <w:r w:rsidRPr="00E204C5">
        <w:t>. Retaliation may be subject to action under appropriate student or employee policies.</w:t>
      </w:r>
    </w:p>
    <w:p w14:paraId="39E4DACB" w14:textId="77777777" w:rsidR="00E204C5" w:rsidRPr="001B614E" w:rsidRDefault="00E204C5" w:rsidP="001B614E">
      <w:r w:rsidRPr="001B614E">
        <w:t>Grammatically, it should be “No retaliation of any kind shall be taken against a student for participating in, or refusing to participate in, a grievance.”</w:t>
      </w:r>
    </w:p>
    <w:p w14:paraId="52336F9C" w14:textId="77777777" w:rsidR="00F528C6" w:rsidRDefault="00F528C6" w:rsidP="001B614E">
      <w:pPr>
        <w:pStyle w:val="Response"/>
      </w:pPr>
      <w:r>
        <w:t>Fixed, thanks!</w:t>
      </w:r>
    </w:p>
    <w:p w14:paraId="361A2227" w14:textId="323CC1A4" w:rsidR="00E204C5" w:rsidRDefault="00095FCC" w:rsidP="00095FCC">
      <w:pPr>
        <w:pStyle w:val="Heading2"/>
      </w:pPr>
      <w:r>
        <w:t>3.55.1 Class Attendance and Participation Procedure</w:t>
      </w:r>
    </w:p>
    <w:p w14:paraId="21777509" w14:textId="2B2992F4" w:rsidR="00095FCC" w:rsidRDefault="00095FCC" w:rsidP="00095FCC">
      <w:pPr>
        <w:pStyle w:val="Heading3"/>
      </w:pPr>
      <w:r>
        <w:t>Staff</w:t>
      </w:r>
    </w:p>
    <w:p w14:paraId="538D0C3E" w14:textId="5B86944D" w:rsidR="00095FCC" w:rsidRDefault="00095FCC" w:rsidP="00095FCC">
      <w:pPr>
        <w:pStyle w:val="Heading4"/>
      </w:pPr>
      <w:r>
        <w:t>Person #1</w:t>
      </w:r>
    </w:p>
    <w:p w14:paraId="368B3E05" w14:textId="25D8CD6F" w:rsidR="00095FCC" w:rsidRPr="00095FCC" w:rsidRDefault="39EEA8F4" w:rsidP="00095FCC">
      <w:r>
        <w:t>Change to NW in Part 4 Subpart B (three instances) and in Subpart D (one instance)</w:t>
      </w:r>
    </w:p>
    <w:p w14:paraId="2FEB4B7A" w14:textId="77777777" w:rsidR="001B614E" w:rsidRDefault="001B614E" w:rsidP="001B614E">
      <w:pPr>
        <w:pStyle w:val="Response"/>
      </w:pPr>
      <w:r>
        <w:t>Fixed, thanks!</w:t>
      </w:r>
    </w:p>
    <w:p w14:paraId="22BF1A94" w14:textId="3CDCA1EF" w:rsidR="77D511AF" w:rsidRDefault="77D511AF" w:rsidP="619AC3FB">
      <w:pPr>
        <w:pStyle w:val="Heading4"/>
      </w:pPr>
      <w:r>
        <w:t>Person #2</w:t>
      </w:r>
    </w:p>
    <w:p w14:paraId="7FFBAEB1" w14:textId="19B438C9" w:rsidR="77D511AF" w:rsidRDefault="77D511AF">
      <w:r>
        <w:t>Military Edits</w:t>
      </w:r>
      <w:r w:rsidR="35A11EC2">
        <w:t>, new paraphs</w:t>
      </w:r>
      <w:r>
        <w:t xml:space="preserve"> – </w:t>
      </w:r>
      <w:hyperlink r:id="rId8">
        <w:r w:rsidRPr="34C9D8F5">
          <w:rPr>
            <w:rStyle w:val="Hyperlink"/>
          </w:rPr>
          <w:t>See document</w:t>
        </w:r>
      </w:hyperlink>
      <w:r w:rsidR="003A57D3">
        <w:t xml:space="preserve"> (suggested edits summarized below)</w:t>
      </w:r>
      <w:r w:rsidR="00C94D6B">
        <w:t>:</w:t>
      </w:r>
    </w:p>
    <w:p w14:paraId="72896630" w14:textId="054E3077" w:rsidR="00C94D6B" w:rsidRDefault="00700E92">
      <w:r>
        <w:t>Part 2, Subpart C:</w:t>
      </w:r>
    </w:p>
    <w:p w14:paraId="30CD2EBB" w14:textId="489C7968" w:rsidR="00700E92" w:rsidRPr="00080EDA" w:rsidRDefault="00700E92">
      <w:pPr>
        <w:rPr>
          <w:rFonts w:eastAsia="Times New Roman" w:cs="Times New Roman"/>
        </w:rPr>
      </w:pPr>
      <w:r>
        <w:t>Delete</w:t>
      </w:r>
      <w:r w:rsidR="00080EDA">
        <w:t xml:space="preserve"> from ¶1</w:t>
      </w:r>
      <w:r>
        <w:t xml:space="preserve">: </w:t>
      </w:r>
      <w:r w:rsidR="00080EDA" w:rsidRPr="00080EDA">
        <w:rPr>
          <w:rFonts w:eastAsia="Times New Roman" w:cs="Times New Roman"/>
        </w:rPr>
        <w:t xml:space="preserve">While these training obligations are not covered by the same guidance </w:t>
      </w:r>
      <w:r w:rsidR="00080EDA" w:rsidRPr="00080EDA">
        <w:rPr>
          <w:rFonts w:cs="Times New Roman"/>
          <w:color w:val="000000"/>
        </w:rPr>
        <w:t>outlined in Minnesota State Board Procedure 5.12.1 for active-duty service</w:t>
      </w:r>
      <w:r w:rsidR="00080EDA" w:rsidRPr="00080EDA">
        <w:rPr>
          <w:rFonts w:eastAsia="Times New Roman" w:cs="Times New Roman"/>
        </w:rPr>
        <w:t>,</w:t>
      </w:r>
      <w:r w:rsidR="00D41511">
        <w:rPr>
          <w:rFonts w:eastAsia="Times New Roman" w:cs="Times New Roman"/>
        </w:rPr>
        <w:t xml:space="preserve"> f</w:t>
      </w:r>
    </w:p>
    <w:p w14:paraId="33C5E2DF" w14:textId="48A26560" w:rsidR="00080EDA" w:rsidRDefault="00080EDA">
      <w:pPr>
        <w:rPr>
          <w:rStyle w:val="markg9yn4y0iw"/>
          <w:rFonts w:cs="Segoe UI"/>
          <w:color w:val="000000"/>
          <w:bdr w:val="none" w:sz="0" w:space="0" w:color="auto" w:frame="1"/>
          <w:shd w:val="clear" w:color="auto" w:fill="FFFFFF"/>
        </w:rPr>
      </w:pPr>
      <w:r w:rsidRPr="00080EDA">
        <w:rPr>
          <w:rFonts w:eastAsia="Times New Roman" w:cs="Times New Roman"/>
        </w:rPr>
        <w:t>Replace with</w:t>
      </w:r>
      <w:r w:rsidR="00D41511">
        <w:rPr>
          <w:rFonts w:eastAsia="Times New Roman" w:cs="Times New Roman"/>
        </w:rPr>
        <w:t xml:space="preserve">: </w:t>
      </w:r>
      <w:r w:rsidR="00D41511" w:rsidRPr="008A52EA">
        <w:rPr>
          <w:rFonts w:eastAsia="Times New Roman" w:cs="Times New Roman"/>
        </w:rPr>
        <w:t xml:space="preserve">Under Minnesota Statute 192.502 </w:t>
      </w:r>
      <w:r w:rsidR="00D41511" w:rsidRPr="00E50D7A">
        <w:rPr>
          <w:rFonts w:cs="Segoe UI"/>
          <w:color w:val="000000"/>
          <w:shd w:val="clear" w:color="auto" w:fill="FFFFFF"/>
        </w:rPr>
        <w:t>– </w:t>
      </w:r>
      <w:r w:rsidR="00D41511" w:rsidRPr="00E50D7A">
        <w:rPr>
          <w:rStyle w:val="markg9yn4y0iw"/>
          <w:rFonts w:cs="Segoe UI"/>
          <w:color w:val="000000"/>
          <w:bdr w:val="none" w:sz="0" w:space="0" w:color="auto" w:frame="1"/>
          <w:shd w:val="clear" w:color="auto" w:fill="FFFFFF"/>
        </w:rPr>
        <w:t xml:space="preserve">Protections, </w:t>
      </w:r>
      <w:r w:rsidR="00D41511">
        <w:rPr>
          <w:rStyle w:val="markg9yn4y0iw"/>
          <w:rFonts w:cs="Segoe UI"/>
          <w:color w:val="000000"/>
          <w:bdr w:val="none" w:sz="0" w:space="0" w:color="auto" w:frame="1"/>
          <w:shd w:val="clear" w:color="auto" w:fill="FFFFFF"/>
        </w:rPr>
        <w:t xml:space="preserve">short-term military training such as </w:t>
      </w:r>
      <w:r w:rsidR="00D41511" w:rsidRPr="00E50D7A">
        <w:rPr>
          <w:rStyle w:val="markg9yn4y0iw"/>
          <w:rFonts w:cs="Segoe UI"/>
          <w:color w:val="000000"/>
          <w:bdr w:val="none" w:sz="0" w:space="0" w:color="auto" w:frame="1"/>
          <w:shd w:val="clear" w:color="auto" w:fill="FFFFFF"/>
        </w:rPr>
        <w:t>drill weekends and annual training are recognized as protected active military service.</w:t>
      </w:r>
      <w:r w:rsidR="00D41511">
        <w:rPr>
          <w:rStyle w:val="markg9yn4y0iw"/>
          <w:rFonts w:cs="Segoe UI"/>
          <w:color w:val="000000"/>
          <w:bdr w:val="none" w:sz="0" w:space="0" w:color="auto" w:frame="1"/>
          <w:shd w:val="clear" w:color="auto" w:fill="FFFFFF"/>
        </w:rPr>
        <w:t xml:space="preserve"> F</w:t>
      </w:r>
    </w:p>
    <w:p w14:paraId="0EBEB751" w14:textId="073958C7" w:rsidR="00C8798F" w:rsidRPr="00080EDA" w:rsidRDefault="00F3661D">
      <w:r>
        <w:rPr>
          <w:rStyle w:val="markg9yn4y0iw"/>
          <w:rFonts w:cs="Segoe UI"/>
          <w:color w:val="000000"/>
          <w:bdr w:val="none" w:sz="0" w:space="0" w:color="auto" w:frame="1"/>
          <w:shd w:val="clear" w:color="auto" w:fill="FFFFFF"/>
        </w:rPr>
        <w:t xml:space="preserve">Clarify in </w:t>
      </w:r>
      <w:r>
        <w:t>¶2: “in-person participation”</w:t>
      </w:r>
      <w:r w:rsidR="00002723">
        <w:t xml:space="preserve"> and “fully replicable outside of a typical </w:t>
      </w:r>
      <w:proofErr w:type="gramStart"/>
      <w:r w:rsidR="00002723">
        <w:t>terms</w:t>
      </w:r>
      <w:proofErr w:type="gramEnd"/>
      <w:r w:rsidR="00002723">
        <w:t xml:space="preserve"> timeline.</w:t>
      </w:r>
    </w:p>
    <w:p w14:paraId="44BBC95C" w14:textId="3097020D" w:rsidR="619AC3FB" w:rsidRDefault="00413C75" w:rsidP="00413C75">
      <w:pPr>
        <w:pStyle w:val="Response"/>
      </w:pPr>
      <w:r>
        <w:t>Made requested deletions and additions.</w:t>
      </w:r>
    </w:p>
    <w:p w14:paraId="550FD88D" w14:textId="766FB176" w:rsidR="73C4D0A3" w:rsidRDefault="73C4D0A3" w:rsidP="13F44AEB">
      <w:pPr>
        <w:pStyle w:val="Heading2"/>
      </w:pPr>
      <w:r>
        <w:t>3.6.1 Student Conduct Procedure</w:t>
      </w:r>
    </w:p>
    <w:p w14:paraId="12B03A2B" w14:textId="2B2992F4" w:rsidR="73C4D0A3" w:rsidRDefault="73C4D0A3" w:rsidP="13F44AEB">
      <w:pPr>
        <w:pStyle w:val="Heading3"/>
      </w:pPr>
      <w:r>
        <w:t>Staff</w:t>
      </w:r>
    </w:p>
    <w:p w14:paraId="7E60E4F1" w14:textId="31401B96" w:rsidR="73C4D0A3" w:rsidRDefault="73C4D0A3" w:rsidP="13F44AEB">
      <w:pPr>
        <w:pStyle w:val="Heading4"/>
      </w:pPr>
      <w:r>
        <w:t>Person #1</w:t>
      </w:r>
    </w:p>
    <w:p w14:paraId="749F0F3C" w14:textId="3B678097" w:rsidR="73C4D0A3" w:rsidRDefault="73C4D0A3" w:rsidP="338CDC89">
      <w:r>
        <w:t xml:space="preserve">Part 4, Number 11: Please add: </w:t>
      </w:r>
      <w:r w:rsidR="10FC2AA2">
        <w:t>T</w:t>
      </w:r>
      <w:r>
        <w:t xml:space="preserve">he Student Conduct Hold will remain </w:t>
      </w:r>
      <w:proofErr w:type="gramStart"/>
      <w:r>
        <w:t>on</w:t>
      </w:r>
      <w:proofErr w:type="gramEnd"/>
      <w:r>
        <w:t xml:space="preserve"> a student’s account until the </w:t>
      </w:r>
      <w:r w:rsidR="468E70EF">
        <w:t xml:space="preserve">hearing </w:t>
      </w:r>
      <w:bookmarkStart w:id="0" w:name="_Int_75vArA9G"/>
      <w:r w:rsidR="468E70EF">
        <w:t>process</w:t>
      </w:r>
      <w:bookmarkEnd w:id="0"/>
      <w:r w:rsidR="468E70EF">
        <w:t xml:space="preserve"> and </w:t>
      </w:r>
      <w:r w:rsidR="139754EB">
        <w:t xml:space="preserve">the sanctions, or </w:t>
      </w:r>
      <w:r w:rsidR="468E70EF">
        <w:t>resolutions</w:t>
      </w:r>
      <w:r w:rsidR="307EF2CB">
        <w:t>,</w:t>
      </w:r>
      <w:r w:rsidR="468E70EF">
        <w:t xml:space="preserve"> are complete. </w:t>
      </w:r>
    </w:p>
    <w:p w14:paraId="3E6886F0" w14:textId="5797F7B2" w:rsidR="00413C75" w:rsidRDefault="00413C75" w:rsidP="00413C75">
      <w:pPr>
        <w:pStyle w:val="Response"/>
      </w:pPr>
      <w:r>
        <w:t>Added!</w:t>
      </w:r>
    </w:p>
    <w:sectPr w:rsidR="00413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eena">
    <w:altName w:val="Skeena"/>
    <w:charset w:val="00"/>
    <w:family w:val="auto"/>
    <w:pitch w:val="variable"/>
    <w:sig w:usb0="80000003" w:usb1="00000001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5vArA9G" int2:invalidationBookmarkName="" int2:hashCode="wuLWYhM03IkLvY" int2:id="GBBVlq72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E0E1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A42F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2E19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C4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5EFD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DA74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CD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B8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428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06C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3604776">
    <w:abstractNumId w:val="9"/>
  </w:num>
  <w:num w:numId="2" w16cid:durableId="1915897710">
    <w:abstractNumId w:val="0"/>
  </w:num>
  <w:num w:numId="3" w16cid:durableId="2062363890">
    <w:abstractNumId w:val="5"/>
  </w:num>
  <w:num w:numId="4" w16cid:durableId="391974765">
    <w:abstractNumId w:val="4"/>
  </w:num>
  <w:num w:numId="5" w16cid:durableId="466902383">
    <w:abstractNumId w:val="7"/>
  </w:num>
  <w:num w:numId="6" w16cid:durableId="506753321">
    <w:abstractNumId w:val="6"/>
  </w:num>
  <w:num w:numId="7" w16cid:durableId="587933792">
    <w:abstractNumId w:val="2"/>
  </w:num>
  <w:num w:numId="8" w16cid:durableId="682516618">
    <w:abstractNumId w:val="1"/>
  </w:num>
  <w:num w:numId="9" w16cid:durableId="697198878">
    <w:abstractNumId w:val="8"/>
  </w:num>
  <w:num w:numId="10" w16cid:durableId="906452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B4"/>
    <w:rsid w:val="00002723"/>
    <w:rsid w:val="00036ABE"/>
    <w:rsid w:val="00061A05"/>
    <w:rsid w:val="00071B52"/>
    <w:rsid w:val="00080EDA"/>
    <w:rsid w:val="00095FCC"/>
    <w:rsid w:val="000C78F8"/>
    <w:rsid w:val="000D7FAE"/>
    <w:rsid w:val="000F3570"/>
    <w:rsid w:val="001709AD"/>
    <w:rsid w:val="001751DD"/>
    <w:rsid w:val="00186189"/>
    <w:rsid w:val="001A7561"/>
    <w:rsid w:val="001B614E"/>
    <w:rsid w:val="001F1333"/>
    <w:rsid w:val="0022101A"/>
    <w:rsid w:val="002754DA"/>
    <w:rsid w:val="002D4AC9"/>
    <w:rsid w:val="00326151"/>
    <w:rsid w:val="00382FF3"/>
    <w:rsid w:val="003A57D3"/>
    <w:rsid w:val="00413C75"/>
    <w:rsid w:val="004233D9"/>
    <w:rsid w:val="004F3ECB"/>
    <w:rsid w:val="00512D4C"/>
    <w:rsid w:val="005411DC"/>
    <w:rsid w:val="005A703A"/>
    <w:rsid w:val="005C0D36"/>
    <w:rsid w:val="00604DDB"/>
    <w:rsid w:val="006A64EF"/>
    <w:rsid w:val="006A700F"/>
    <w:rsid w:val="006C35ED"/>
    <w:rsid w:val="006C48B4"/>
    <w:rsid w:val="006D62ED"/>
    <w:rsid w:val="006E25C1"/>
    <w:rsid w:val="00700E92"/>
    <w:rsid w:val="0077484B"/>
    <w:rsid w:val="00782B62"/>
    <w:rsid w:val="007B3AEC"/>
    <w:rsid w:val="00852B7D"/>
    <w:rsid w:val="008C52C9"/>
    <w:rsid w:val="008C6E9D"/>
    <w:rsid w:val="0094394B"/>
    <w:rsid w:val="009A1ADE"/>
    <w:rsid w:val="00A00527"/>
    <w:rsid w:val="00A06597"/>
    <w:rsid w:val="00A17F2A"/>
    <w:rsid w:val="00AD519F"/>
    <w:rsid w:val="00AD60EB"/>
    <w:rsid w:val="00AE36FF"/>
    <w:rsid w:val="00AF6A8A"/>
    <w:rsid w:val="00C44D51"/>
    <w:rsid w:val="00C8798F"/>
    <w:rsid w:val="00C94D6B"/>
    <w:rsid w:val="00C9799D"/>
    <w:rsid w:val="00CA5749"/>
    <w:rsid w:val="00D15511"/>
    <w:rsid w:val="00D41511"/>
    <w:rsid w:val="00D56E6C"/>
    <w:rsid w:val="00DD0E6B"/>
    <w:rsid w:val="00E04B37"/>
    <w:rsid w:val="00E204C5"/>
    <w:rsid w:val="00E22924"/>
    <w:rsid w:val="00E2772A"/>
    <w:rsid w:val="00E41C82"/>
    <w:rsid w:val="00E45612"/>
    <w:rsid w:val="00EA609D"/>
    <w:rsid w:val="00F3661D"/>
    <w:rsid w:val="00F528C6"/>
    <w:rsid w:val="00F86754"/>
    <w:rsid w:val="00F95362"/>
    <w:rsid w:val="0195569E"/>
    <w:rsid w:val="10FC2AA2"/>
    <w:rsid w:val="135C18D0"/>
    <w:rsid w:val="139754EB"/>
    <w:rsid w:val="13F44AEB"/>
    <w:rsid w:val="2A372059"/>
    <w:rsid w:val="307EF2CB"/>
    <w:rsid w:val="338CDC89"/>
    <w:rsid w:val="34C9D8F5"/>
    <w:rsid w:val="35A11EC2"/>
    <w:rsid w:val="39EEA8F4"/>
    <w:rsid w:val="3E6C770D"/>
    <w:rsid w:val="468E70EF"/>
    <w:rsid w:val="4ED562E5"/>
    <w:rsid w:val="5E7578D8"/>
    <w:rsid w:val="619AC3FB"/>
    <w:rsid w:val="73C4D0A3"/>
    <w:rsid w:val="77D5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9D38"/>
  <w15:chartTrackingRefBased/>
  <w15:docId w15:val="{3883F428-4495-447D-BA3A-FB0CE21D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C6"/>
  </w:style>
  <w:style w:type="paragraph" w:styleId="Heading1">
    <w:name w:val="heading 1"/>
    <w:basedOn w:val="Normal"/>
    <w:next w:val="Normal"/>
    <w:link w:val="Heading1Char"/>
    <w:uiPriority w:val="9"/>
    <w:qFormat/>
    <w:rsid w:val="00604DDB"/>
    <w:pPr>
      <w:keepNext/>
      <w:keepLines/>
      <w:spacing w:before="240" w:after="0"/>
      <w:outlineLvl w:val="0"/>
    </w:pPr>
    <w:rPr>
      <w:rFonts w:ascii="Candara" w:eastAsiaTheme="majorEastAsia" w:hAnsi="Candara" w:cstheme="majorBidi"/>
      <w:color w:val="0717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DDB"/>
    <w:pPr>
      <w:keepNext/>
      <w:keepLines/>
      <w:spacing w:before="40" w:after="0"/>
      <w:outlineLvl w:val="1"/>
    </w:pPr>
    <w:rPr>
      <w:rFonts w:ascii="Candara" w:eastAsiaTheme="majorEastAsia" w:hAnsi="Candara" w:cstheme="majorBidi"/>
      <w:color w:val="07176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4DDB"/>
    <w:pPr>
      <w:keepNext/>
      <w:keepLines/>
      <w:spacing w:before="40" w:after="0"/>
      <w:outlineLvl w:val="2"/>
    </w:pPr>
    <w:rPr>
      <w:rFonts w:ascii="Candara" w:eastAsiaTheme="majorEastAsia" w:hAnsi="Candara" w:cstheme="majorBidi"/>
      <w:color w:val="050F4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4DDB"/>
    <w:pPr>
      <w:keepNext/>
      <w:keepLines/>
      <w:spacing w:before="40" w:after="0"/>
      <w:outlineLvl w:val="3"/>
    </w:pPr>
    <w:rPr>
      <w:rFonts w:ascii="Candara" w:eastAsiaTheme="majorEastAsia" w:hAnsi="Candara" w:cstheme="majorBidi"/>
      <w:i/>
      <w:iCs/>
      <w:color w:val="0717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DDB"/>
    <w:pPr>
      <w:keepNext/>
      <w:keepLines/>
      <w:spacing w:before="40" w:after="0"/>
      <w:outlineLvl w:val="4"/>
    </w:pPr>
    <w:rPr>
      <w:rFonts w:ascii="Candara" w:eastAsiaTheme="majorEastAsia" w:hAnsi="Candara" w:cstheme="majorBidi"/>
      <w:color w:val="0717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DDB"/>
    <w:pPr>
      <w:keepNext/>
      <w:keepLines/>
      <w:spacing w:before="40" w:after="0"/>
      <w:outlineLvl w:val="5"/>
    </w:pPr>
    <w:rPr>
      <w:rFonts w:ascii="Candara" w:eastAsiaTheme="majorEastAsia" w:hAnsi="Candara" w:cstheme="majorBidi"/>
      <w:color w:val="050F4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DDB"/>
    <w:pPr>
      <w:keepNext/>
      <w:keepLines/>
      <w:spacing w:before="40" w:after="0"/>
      <w:outlineLvl w:val="6"/>
    </w:pPr>
    <w:rPr>
      <w:rFonts w:ascii="Candara" w:eastAsiaTheme="majorEastAsia" w:hAnsi="Candara" w:cstheme="majorBidi"/>
      <w:i/>
      <w:iCs/>
      <w:color w:val="050F4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DDB"/>
    <w:pPr>
      <w:keepNext/>
      <w:keepLines/>
      <w:spacing w:before="40" w:after="0"/>
      <w:outlineLvl w:val="7"/>
    </w:pPr>
    <w:rPr>
      <w:rFonts w:ascii="Candara" w:eastAsiaTheme="majorEastAsia" w:hAnsi="Candar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DDB"/>
    <w:pPr>
      <w:keepNext/>
      <w:keepLines/>
      <w:spacing w:before="40" w:after="0"/>
      <w:outlineLvl w:val="8"/>
    </w:pPr>
    <w:rPr>
      <w:rFonts w:ascii="Candara" w:eastAsiaTheme="majorEastAsia" w:hAnsi="Candar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DDB"/>
    <w:rPr>
      <w:rFonts w:ascii="Candara" w:eastAsiaTheme="majorEastAsia" w:hAnsi="Candara" w:cstheme="majorBidi"/>
      <w:color w:val="07176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4DDB"/>
    <w:rPr>
      <w:rFonts w:ascii="Candara" w:eastAsiaTheme="majorEastAsia" w:hAnsi="Candara" w:cstheme="majorBidi"/>
      <w:color w:val="07176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4DDB"/>
    <w:rPr>
      <w:rFonts w:ascii="Candara" w:eastAsiaTheme="majorEastAsia" w:hAnsi="Candara" w:cstheme="majorBidi"/>
      <w:color w:val="050F4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04DDB"/>
    <w:rPr>
      <w:rFonts w:ascii="Candara" w:eastAsiaTheme="majorEastAsia" w:hAnsi="Candara" w:cstheme="majorBidi"/>
      <w:i/>
      <w:iCs/>
      <w:color w:val="0717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DDB"/>
    <w:rPr>
      <w:rFonts w:ascii="Candara" w:eastAsiaTheme="majorEastAsia" w:hAnsi="Candara" w:cstheme="majorBidi"/>
      <w:color w:val="0717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DDB"/>
    <w:rPr>
      <w:rFonts w:ascii="Candara" w:eastAsiaTheme="majorEastAsia" w:hAnsi="Candara" w:cstheme="majorBidi"/>
      <w:color w:val="050F4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DDB"/>
    <w:rPr>
      <w:rFonts w:ascii="Candara" w:eastAsiaTheme="majorEastAsia" w:hAnsi="Candara" w:cstheme="majorBidi"/>
      <w:i/>
      <w:iCs/>
      <w:color w:val="050F4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DDB"/>
    <w:rPr>
      <w:rFonts w:ascii="Candara" w:eastAsiaTheme="majorEastAsia" w:hAnsi="Candar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DDB"/>
    <w:rPr>
      <w:rFonts w:ascii="Candara" w:eastAsiaTheme="majorEastAsia" w:hAnsi="Candara" w:cstheme="majorBidi"/>
      <w:i/>
      <w:iCs/>
      <w:color w:val="272727" w:themeColor="text1" w:themeTint="D8"/>
      <w:sz w:val="21"/>
      <w:szCs w:val="21"/>
    </w:rPr>
  </w:style>
  <w:style w:type="paragraph" w:customStyle="1" w:styleId="Response">
    <w:name w:val="Response"/>
    <w:basedOn w:val="Normal"/>
    <w:link w:val="ResponseChar"/>
    <w:autoRedefine/>
    <w:qFormat/>
    <w:rsid w:val="001B614E"/>
    <w:pPr>
      <w:spacing w:after="400" w:line="240" w:lineRule="auto"/>
      <w:ind w:left="720"/>
    </w:pPr>
    <w:rPr>
      <w:rFonts w:ascii="Lora" w:hAnsi="Lora"/>
      <w:color w:val="009999"/>
    </w:rPr>
  </w:style>
  <w:style w:type="character" w:customStyle="1" w:styleId="ResponseChar">
    <w:name w:val="Response Char"/>
    <w:basedOn w:val="DefaultParagraphFont"/>
    <w:link w:val="Response"/>
    <w:rsid w:val="001B614E"/>
    <w:rPr>
      <w:rFonts w:ascii="Lora" w:hAnsi="Lora"/>
      <w:color w:val="009999"/>
    </w:rPr>
  </w:style>
  <w:style w:type="paragraph" w:styleId="Title">
    <w:name w:val="Title"/>
    <w:basedOn w:val="Normal"/>
    <w:next w:val="Normal"/>
    <w:link w:val="TitleChar"/>
    <w:uiPriority w:val="10"/>
    <w:qFormat/>
    <w:rsid w:val="00604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04DD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4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DD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DDB"/>
    <w:pPr>
      <w:pBdr>
        <w:top w:val="single" w:sz="4" w:space="10" w:color="07176A" w:themeColor="accent1" w:themeShade="BF"/>
        <w:bottom w:val="single" w:sz="4" w:space="10" w:color="07176A" w:themeColor="accent1" w:themeShade="BF"/>
      </w:pBdr>
      <w:spacing w:before="360" w:after="360"/>
      <w:ind w:left="864" w:right="864"/>
      <w:jc w:val="center"/>
    </w:pPr>
    <w:rPr>
      <w:i/>
      <w:iCs/>
      <w:color w:val="0717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DDB"/>
    <w:rPr>
      <w:i/>
      <w:iCs/>
      <w:color w:val="07176A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04DDB"/>
    <w:rPr>
      <w:i/>
      <w:iCs/>
      <w:color w:val="0717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DDB"/>
    <w:rPr>
      <w:b/>
      <w:bCs/>
      <w:smallCaps/>
      <w:color w:val="07176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E7578D8"/>
    <w:rPr>
      <w:color w:val="3654F0"/>
      <w:u w:val="single"/>
    </w:rPr>
  </w:style>
  <w:style w:type="character" w:customStyle="1" w:styleId="markg9yn4y0iw">
    <w:name w:val="markg9yn4y0iw"/>
    <w:basedOn w:val="DefaultParagraphFont"/>
    <w:rsid w:val="00D4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scu-my.sharepoint.com/:w:/g/personal/aa4338sa_minnstate_edu/EQU_iOOiDgdEgvmOn_Vlbz8BRikE2frJHgMtSkEq2fs5NA?e=3ZxOx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HCC Brand Colors">
      <a:dk1>
        <a:srgbClr val="000000"/>
      </a:dk1>
      <a:lt1>
        <a:srgbClr val="FFFFFF"/>
      </a:lt1>
      <a:dk2>
        <a:srgbClr val="B1B1B1"/>
      </a:dk2>
      <a:lt2>
        <a:srgbClr val="D7D8D6"/>
      </a:lt2>
      <a:accent1>
        <a:srgbClr val="0A1F8F"/>
      </a:accent1>
      <a:accent2>
        <a:srgbClr val="86D5F1"/>
      </a:accent2>
      <a:accent3>
        <a:srgbClr val="92278F"/>
      </a:accent3>
      <a:accent4>
        <a:srgbClr val="F15A29"/>
      </a:accent4>
      <a:accent5>
        <a:srgbClr val="F49622"/>
      </a:accent5>
      <a:accent6>
        <a:srgbClr val="9CB83B"/>
      </a:accent6>
      <a:hlink>
        <a:srgbClr val="3654F0"/>
      </a:hlink>
      <a:folHlink>
        <a:srgbClr val="92278F"/>
      </a:folHlink>
    </a:clrScheme>
    <a:fontScheme name="Deanna Default">
      <a:majorFont>
        <a:latin typeface="Candara"/>
        <a:ea typeface=""/>
        <a:cs typeface=""/>
      </a:majorFont>
      <a:minorFont>
        <a:latin typeface="Skee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e813b-ed9a-414d-b428-76f32479fa0f">
      <Value>36</Value>
    </TaxCatchAll>
    <j13951bb11c44e51b4d0e20a0ad84864 xmlns="5f88d636-3836-485e-bb7f-db3e816b43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Comments</TermName>
          <TermId xmlns="http://schemas.microsoft.com/office/infopath/2007/PartnerControls">a63c65cd-7ab4-4ef1-aa15-6060daec4cb3</TermId>
        </TermInfo>
      </Terms>
    </j13951bb11c44e51b4d0e20a0ad84864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C6788A8AAA54CB118ABD267F4F84C" ma:contentTypeVersion="46" ma:contentTypeDescription="Create a new document." ma:contentTypeScope="" ma:versionID="b6929caa569136423b5a80e561432335">
  <xsd:schema xmlns:xsd="http://www.w3.org/2001/XMLSchema" xmlns:xs="http://www.w3.org/2001/XMLSchema" xmlns:p="http://schemas.microsoft.com/office/2006/metadata/properties" xmlns:ns1="http://schemas.microsoft.com/sharepoint/v3" xmlns:ns2="030e813b-ed9a-414d-b428-76f32479fa0f" xmlns:ns3="5f88d636-3836-485e-bb7f-db3e816b4392" targetNamespace="http://schemas.microsoft.com/office/2006/metadata/properties" ma:root="true" ma:fieldsID="89d860941600aa6486c5d34fd9e56189" ns1:_="" ns2:_="" ns3:_="">
    <xsd:import namespace="http://schemas.microsoft.com/sharepoint/v3"/>
    <xsd:import namespace="030e813b-ed9a-414d-b428-76f32479fa0f"/>
    <xsd:import namespace="5f88d636-3836-485e-bb7f-db3e816b4392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TaxCatchAll" minOccurs="0"/>
                <xsd:element ref="ns3:j13951bb11c44e51b4d0e20a0ad84864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4" nillable="true" ma:displayName="Owner" ma:description="Owner of this document" ma:list="UserInfo" ma:internalName="Repor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813b-ed9a-414d-b428-76f32479fa0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97b0530-8107-447e-a25a-eba7b053afa1}" ma:internalName="TaxCatchAll" ma:showField="CatchAllData" ma:web="030e813b-ed9a-414d-b428-76f32479f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d636-3836-485e-bb7f-db3e816b4392" elementFormDefault="qualified">
    <xsd:import namespace="http://schemas.microsoft.com/office/2006/documentManagement/types"/>
    <xsd:import namespace="http://schemas.microsoft.com/office/infopath/2007/PartnerControls"/>
    <xsd:element name="j13951bb11c44e51b4d0e20a0ad84864" ma:index="11" ma:taxonomy="true" ma:internalName="j13951bb11c44e51b4d0e20a0ad84864" ma:taxonomyFieldName="Tag" ma:displayName="Tag" ma:readOnly="false" ma:default="" ma:fieldId="{313951bb-11c4-4e51-b4d0-e20a0ad84864}" ma:sspId="f95a9afa-61c7-4e96-8bec-901bd188774b" ma:termSetId="6cb8a382-d59f-4b0f-8550-07cc3526e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80D97-C905-4627-8A23-D154507C3985}">
  <ds:schemaRefs>
    <ds:schemaRef ds:uri="http://schemas.microsoft.com/office/2006/metadata/properties"/>
    <ds:schemaRef ds:uri="http://schemas.microsoft.com/office/infopath/2007/PartnerControls"/>
    <ds:schemaRef ds:uri="030e813b-ed9a-414d-b428-76f32479fa0f"/>
    <ds:schemaRef ds:uri="5f88d636-3836-485e-bb7f-db3e816b43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72D109-331A-48BC-A6FA-7053995BF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0e813b-ed9a-414d-b428-76f32479fa0f"/>
    <ds:schemaRef ds:uri="5f88d636-3836-485e-bb7f-db3e816b4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6211A-C056-48B4-AA38-D9E1A716F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1699</Characters>
  <Application>Microsoft Office Word</Application>
  <DocSecurity>0</DocSecurity>
  <Lines>45</Lines>
  <Paragraphs>38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Forsman, Deanna D</dc:creator>
  <cp:keywords>Comments</cp:keywords>
  <dc:description/>
  <cp:lastModifiedBy>Escamilla Beltran, Judith</cp:lastModifiedBy>
  <cp:revision>2</cp:revision>
  <dcterms:created xsi:type="dcterms:W3CDTF">2026-01-30T20:29:00Z</dcterms:created>
  <dcterms:modified xsi:type="dcterms:W3CDTF">2026-01-30T20:29:00Z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g">
    <vt:lpwstr>36;#Comments|a63c65cd-7ab4-4ef1-aa15-6060daec4cb3</vt:lpwstr>
  </property>
  <property fmtid="{D5CDD505-2E9C-101B-9397-08002B2CF9AE}" pid="3" name="ContentTypeId">
    <vt:lpwstr>0x01010032AC6788A8AAA54CB118ABD267F4F84C</vt:lpwstr>
  </property>
  <property fmtid="{D5CDD505-2E9C-101B-9397-08002B2CF9AE}" pid="4" name="docLang">
    <vt:lpwstr>en</vt:lpwstr>
  </property>
</Properties>
</file>